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pPr>
    </w:p>
    <w:p>
      <w:pPr>
        <w:tabs>
          <w:tab w:val="clear" w:pos="426"/>
        </w:tabs>
      </w:pPr>
    </w:p>
    <w:p>
      <w:pPr>
        <w:tabs>
          <w:tab w:val="clear" w:pos="426"/>
        </w:tabs>
        <w:jc w:val="right"/>
        <w:rPr>
          <w:b/>
          <w:u w:val="single"/>
        </w:rPr>
      </w:pPr>
      <w:r>
        <w:rPr>
          <w:rFonts w:hint="eastAsia"/>
        </w:rPr>
        <w:t xml:space="preserve">                                                     项目编号：</w:t>
      </w:r>
      <w:r>
        <w:rPr>
          <w:b/>
          <w:u w:val="single"/>
        </w:rPr>
        <w:t>SSZX2024-152</w:t>
      </w: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公开招标</w:t>
      </w: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招标文件</w:t>
      </w:r>
    </w:p>
    <w:p>
      <w:pPr>
        <w:tabs>
          <w:tab w:val="clear" w:pos="426"/>
        </w:tabs>
      </w:pPr>
    </w:p>
    <w:p>
      <w:pPr>
        <w:tabs>
          <w:tab w:val="clear" w:pos="426"/>
        </w:tabs>
      </w:pPr>
    </w:p>
    <w:p>
      <w:pPr>
        <w:tabs>
          <w:tab w:val="clear" w:pos="426"/>
        </w:tabs>
      </w:pPr>
    </w:p>
    <w:p>
      <w:pPr>
        <w:tabs>
          <w:tab w:val="clear" w:pos="426"/>
        </w:tabs>
        <w:jc w:val="center"/>
        <w:rPr>
          <w:rFonts w:ascii="黑体" w:eastAsia="黑体" w:cs="Arial"/>
          <w:sz w:val="52"/>
          <w:szCs w:val="52"/>
        </w:rPr>
      </w:pPr>
      <w:r>
        <w:rPr>
          <w:rFonts w:hint="eastAsia" w:ascii="黑体" w:eastAsia="黑体" w:cs="Arial"/>
          <w:sz w:val="52"/>
          <w:szCs w:val="52"/>
        </w:rPr>
        <w:t>【服务类】</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ind w:left="298" w:leftChars="142"/>
        <w:rPr>
          <w:rFonts w:cs="Times New Roman"/>
          <w:kern w:val="2"/>
          <w:sz w:val="30"/>
          <w:szCs w:val="20"/>
        </w:rPr>
      </w:pPr>
      <w:r>
        <w:rPr>
          <w:rFonts w:hint="eastAsia" w:cs="Times New Roman"/>
          <w:kern w:val="2"/>
          <w:sz w:val="30"/>
          <w:szCs w:val="20"/>
        </w:rPr>
        <w:t>项目名称：</w:t>
      </w:r>
      <w:r>
        <w:rPr>
          <w:rFonts w:hint="eastAsia" w:cs="Times New Roman"/>
          <w:kern w:val="2"/>
          <w:sz w:val="30"/>
          <w:szCs w:val="20"/>
          <w:u w:val="single"/>
        </w:rPr>
        <w:t>广东省深圳市宝安区消防救援大队2024年食堂配菜服务采购项目（A/B/C包）</w:t>
      </w:r>
    </w:p>
    <w:p>
      <w:pPr>
        <w:widowControl w:val="0"/>
        <w:shd w:val="clear" w:color="auto" w:fill="auto"/>
        <w:tabs>
          <w:tab w:val="clear" w:pos="426"/>
        </w:tabs>
        <w:adjustRightInd/>
        <w:snapToGrid/>
        <w:spacing w:line="300" w:lineRule="auto"/>
        <w:ind w:left="1500"/>
        <w:rPr>
          <w:rFonts w:cs="Times New Roman"/>
          <w:kern w:val="2"/>
          <w:sz w:val="30"/>
          <w:szCs w:val="20"/>
        </w:rPr>
      </w:pPr>
    </w:p>
    <w:p>
      <w:pPr>
        <w:widowControl w:val="0"/>
        <w:shd w:val="clear" w:color="auto" w:fill="auto"/>
        <w:tabs>
          <w:tab w:val="clear" w:pos="426"/>
        </w:tabs>
        <w:adjustRightInd/>
        <w:snapToGrid/>
        <w:spacing w:line="300" w:lineRule="auto"/>
        <w:ind w:left="298" w:leftChars="142"/>
        <w:rPr>
          <w:rFonts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深圳市宝安区消防救援大队</w:t>
      </w:r>
    </w:p>
    <w:p>
      <w:pPr>
        <w:widowControl w:val="0"/>
        <w:shd w:val="clear" w:color="auto" w:fill="auto"/>
        <w:tabs>
          <w:tab w:val="clear" w:pos="426"/>
        </w:tabs>
        <w:adjustRightInd/>
        <w:snapToGrid/>
        <w:spacing w:line="300" w:lineRule="auto"/>
        <w:ind w:left="1500"/>
        <w:rPr>
          <w:rFonts w:cs="Times New Roman"/>
          <w:kern w:val="2"/>
          <w:sz w:val="30"/>
          <w:szCs w:val="20"/>
        </w:rPr>
      </w:pPr>
    </w:p>
    <w:p>
      <w:pPr>
        <w:widowControl w:val="0"/>
        <w:shd w:val="clear" w:color="auto" w:fill="auto"/>
        <w:tabs>
          <w:tab w:val="clear" w:pos="426"/>
        </w:tabs>
        <w:adjustRightInd/>
        <w:snapToGrid/>
        <w:spacing w:line="300" w:lineRule="auto"/>
        <w:ind w:left="298" w:leftChars="142"/>
        <w:rPr>
          <w:rFonts w:cs="Times New Roman"/>
          <w:kern w:val="2"/>
          <w:sz w:val="30"/>
          <w:szCs w:val="20"/>
          <w:u w:val="single"/>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widowControl w:val="0"/>
        <w:shd w:val="clear" w:color="auto" w:fill="auto"/>
        <w:tabs>
          <w:tab w:val="clear" w:pos="426"/>
        </w:tabs>
        <w:adjustRightInd/>
        <w:snapToGrid/>
        <w:spacing w:line="300" w:lineRule="auto"/>
        <w:ind w:left="298" w:leftChars="142"/>
        <w:rPr>
          <w:rFonts w:cs="Times New Roman"/>
          <w:kern w:val="2"/>
          <w:sz w:val="30"/>
          <w:szCs w:val="20"/>
          <w:u w:val="single"/>
        </w:rPr>
      </w:pPr>
    </w:p>
    <w:p>
      <w:pPr>
        <w:widowControl w:val="0"/>
        <w:shd w:val="clear" w:color="auto" w:fill="auto"/>
        <w:tabs>
          <w:tab w:val="clear" w:pos="426"/>
        </w:tabs>
        <w:adjustRightInd/>
        <w:snapToGrid/>
        <w:spacing w:line="300" w:lineRule="auto"/>
        <w:ind w:left="298" w:leftChars="142"/>
        <w:rPr>
          <w:rFonts w:cs="Times New Roman"/>
          <w:kern w:val="2"/>
          <w:sz w:val="30"/>
          <w:szCs w:val="20"/>
          <w:u w:val="single"/>
        </w:rPr>
      </w:pPr>
    </w:p>
    <w:p>
      <w:pPr>
        <w:widowControl w:val="0"/>
        <w:shd w:val="clear" w:color="auto" w:fill="auto"/>
        <w:tabs>
          <w:tab w:val="clear" w:pos="426"/>
        </w:tabs>
        <w:adjustRightInd/>
        <w:snapToGrid/>
        <w:spacing w:line="300" w:lineRule="auto"/>
        <w:ind w:left="298" w:leftChars="142"/>
        <w:rPr>
          <w:rFonts w:cs="Times New Roman"/>
          <w:kern w:val="2"/>
          <w:sz w:val="30"/>
          <w:szCs w:val="20"/>
          <w:u w:val="single"/>
        </w:rPr>
      </w:pPr>
    </w:p>
    <w:p>
      <w:pPr>
        <w:widowControl w:val="0"/>
        <w:shd w:val="clear" w:color="auto" w:fill="auto"/>
        <w:tabs>
          <w:tab w:val="clear" w:pos="426"/>
        </w:tabs>
        <w:adjustRightInd/>
        <w:snapToGrid/>
        <w:spacing w:line="300" w:lineRule="auto"/>
        <w:ind w:left="298" w:leftChars="142"/>
        <w:jc w:val="center"/>
        <w:rPr>
          <w:b/>
          <w:bCs/>
        </w:rPr>
      </w:pPr>
      <w:r>
        <w:rPr>
          <w:rFonts w:hint="eastAsia" w:cs="Times New Roman"/>
          <w:b/>
          <w:bCs/>
          <w:kern w:val="2"/>
          <w:sz w:val="30"/>
          <w:szCs w:val="20"/>
        </w:rPr>
        <w:t>2</w:t>
      </w:r>
      <w:r>
        <w:rPr>
          <w:rFonts w:cs="Times New Roman"/>
          <w:b/>
          <w:bCs/>
          <w:kern w:val="2"/>
          <w:sz w:val="30"/>
          <w:szCs w:val="20"/>
        </w:rPr>
        <w:t>024</w:t>
      </w:r>
      <w:r>
        <w:rPr>
          <w:rFonts w:hint="eastAsia" w:cs="Times New Roman"/>
          <w:b/>
          <w:bCs/>
          <w:kern w:val="2"/>
          <w:sz w:val="30"/>
          <w:szCs w:val="20"/>
        </w:rPr>
        <w:t>年</w:t>
      </w:r>
      <w:r>
        <w:rPr>
          <w:rFonts w:hint="eastAsia" w:cs="Times New Roman"/>
          <w:b/>
          <w:bCs/>
          <w:kern w:val="2"/>
          <w:sz w:val="30"/>
          <w:szCs w:val="20"/>
          <w:lang w:val="en-US" w:eastAsia="zh-CN"/>
        </w:rPr>
        <w:t>6</w:t>
      </w:r>
      <w:r>
        <w:rPr>
          <w:rFonts w:hint="eastAsia" w:cs="Times New Roman"/>
          <w:b/>
          <w:bCs/>
          <w:kern w:val="2"/>
          <w:sz w:val="30"/>
          <w:szCs w:val="20"/>
        </w:rPr>
        <w:t>月</w:t>
      </w:r>
    </w:p>
    <w:p>
      <w:pPr>
        <w:tabs>
          <w:tab w:val="clear" w:pos="426"/>
        </w:tabs>
        <w:jc w:val="center"/>
        <w:rPr>
          <w:b/>
          <w:sz w:val="32"/>
          <w:szCs w:val="32"/>
        </w:rPr>
      </w:pPr>
      <w:r>
        <w:br w:type="page"/>
      </w:r>
      <w:r>
        <w:rPr>
          <w:rFonts w:hint="eastAsia"/>
          <w:b/>
          <w:sz w:val="32"/>
          <w:szCs w:val="32"/>
        </w:rPr>
        <w:t>目      录</w:t>
      </w:r>
    </w:p>
    <w:p>
      <w:pPr>
        <w:tabs>
          <w:tab w:val="clear" w:pos="426"/>
        </w:tabs>
        <w:ind w:firstLine="649"/>
        <w:jc w:val="center"/>
        <w:rPr>
          <w:sz w:val="32"/>
          <w:szCs w:val="32"/>
        </w:rPr>
      </w:pPr>
    </w:p>
    <w:p>
      <w:pPr>
        <w:pStyle w:val="57"/>
        <w:ind w:firstLine="568"/>
        <w:rPr>
          <w:rFonts w:asciiTheme="minorHAnsi" w:hAnsiTheme="minorHAnsi" w:eastAsiaTheme="minorEastAsia" w:cstheme="minorBidi"/>
          <w:b w:val="0"/>
          <w:bCs w:val="0"/>
          <w:caps w:val="0"/>
          <w:kern w:val="2"/>
          <w:sz w:val="21"/>
          <w:szCs w:val="22"/>
        </w:rPr>
      </w:pPr>
      <w:r>
        <w:fldChar w:fldCharType="begin"/>
      </w:r>
      <w:r>
        <w:instrText xml:space="preserve"> TOC \o "1-3" \h \z \u </w:instrText>
      </w:r>
      <w:r>
        <w:fldChar w:fldCharType="separate"/>
      </w:r>
      <w:r>
        <w:fldChar w:fldCharType="begin"/>
      </w:r>
      <w:r>
        <w:instrText xml:space="preserve"> HYPERLINK \l "_Toc120892127" </w:instrText>
      </w:r>
      <w:r>
        <w:fldChar w:fldCharType="separate"/>
      </w:r>
      <w:r>
        <w:rPr>
          <w:rStyle w:val="98"/>
          <w:rFonts w:hint="eastAsia"/>
          <w:color w:val="auto"/>
        </w:rPr>
        <w:t>项目关键信息</w:t>
      </w:r>
      <w:r>
        <w:tab/>
      </w:r>
      <w:r>
        <w:fldChar w:fldCharType="begin"/>
      </w:r>
      <w:r>
        <w:instrText xml:space="preserve"> PAGEREF _Toc120892127 \h </w:instrText>
      </w:r>
      <w:r>
        <w:fldChar w:fldCharType="separate"/>
      </w:r>
      <w:r>
        <w:t>1</w:t>
      </w:r>
      <w:r>
        <w:fldChar w:fldCharType="end"/>
      </w:r>
      <w:r>
        <w:fldChar w:fldCharType="end"/>
      </w:r>
    </w:p>
    <w:p>
      <w:pPr>
        <w:pStyle w:val="57"/>
        <w:ind w:firstLine="566"/>
        <w:rPr>
          <w:rFonts w:asciiTheme="minorHAnsi" w:hAnsiTheme="minorHAnsi" w:eastAsiaTheme="minorEastAsia" w:cstheme="minorBidi"/>
          <w:b w:val="0"/>
          <w:bCs w:val="0"/>
          <w:caps w:val="0"/>
          <w:kern w:val="2"/>
          <w:sz w:val="21"/>
          <w:szCs w:val="22"/>
        </w:rPr>
      </w:pPr>
      <w:r>
        <w:fldChar w:fldCharType="begin"/>
      </w:r>
      <w:r>
        <w:instrText xml:space="preserve"> HYPERLINK \l "_Toc120892128" </w:instrText>
      </w:r>
      <w:r>
        <w:fldChar w:fldCharType="separate"/>
      </w:r>
      <w:r>
        <w:rPr>
          <w:rStyle w:val="98"/>
          <w:rFonts w:hint="eastAsia"/>
          <w:color w:val="auto"/>
        </w:rPr>
        <w:t>资格、符合性评审条款</w:t>
      </w:r>
      <w:r>
        <w:tab/>
      </w:r>
      <w:r>
        <w:fldChar w:fldCharType="begin"/>
      </w:r>
      <w:r>
        <w:instrText xml:space="preserve"> PAGEREF _Toc120892128 \h </w:instrText>
      </w:r>
      <w:r>
        <w:fldChar w:fldCharType="separate"/>
      </w:r>
      <w:r>
        <w:t>2</w:t>
      </w:r>
      <w:r>
        <w:fldChar w:fldCharType="end"/>
      </w:r>
      <w:r>
        <w:fldChar w:fldCharType="end"/>
      </w:r>
    </w:p>
    <w:p>
      <w:pPr>
        <w:pStyle w:val="57"/>
        <w:ind w:firstLine="566"/>
        <w:rPr>
          <w:rFonts w:asciiTheme="minorHAnsi" w:hAnsiTheme="minorHAnsi" w:eastAsiaTheme="minorEastAsia" w:cstheme="minorBidi"/>
          <w:b w:val="0"/>
          <w:bCs w:val="0"/>
          <w:caps w:val="0"/>
          <w:kern w:val="2"/>
          <w:sz w:val="21"/>
          <w:szCs w:val="22"/>
        </w:rPr>
      </w:pPr>
      <w:r>
        <w:fldChar w:fldCharType="begin"/>
      </w:r>
      <w:r>
        <w:instrText xml:space="preserve"> HYPERLINK \l "_Toc120892129" </w:instrText>
      </w:r>
      <w:r>
        <w:fldChar w:fldCharType="separate"/>
      </w:r>
      <w:r>
        <w:rPr>
          <w:rStyle w:val="98"/>
          <w:rFonts w:hint="eastAsia"/>
          <w:color w:val="auto"/>
        </w:rPr>
        <w:t>评标信息</w:t>
      </w:r>
      <w:r>
        <w:tab/>
      </w:r>
      <w:r>
        <w:fldChar w:fldCharType="begin"/>
      </w:r>
      <w:r>
        <w:instrText xml:space="preserve"> PAGEREF _Toc120892129 \h </w:instrText>
      </w:r>
      <w:r>
        <w:fldChar w:fldCharType="separate"/>
      </w:r>
      <w:r>
        <w:t>3</w:t>
      </w:r>
      <w:r>
        <w:fldChar w:fldCharType="end"/>
      </w:r>
      <w:r>
        <w:fldChar w:fldCharType="end"/>
      </w:r>
    </w:p>
    <w:p>
      <w:pPr>
        <w:pStyle w:val="57"/>
        <w:ind w:firstLine="566"/>
        <w:rPr>
          <w:rFonts w:asciiTheme="minorHAnsi" w:hAnsiTheme="minorHAnsi" w:eastAsiaTheme="minorEastAsia" w:cstheme="minorBidi"/>
          <w:b w:val="0"/>
          <w:bCs w:val="0"/>
          <w:caps w:val="0"/>
          <w:kern w:val="2"/>
          <w:sz w:val="21"/>
          <w:szCs w:val="22"/>
        </w:rPr>
      </w:pPr>
      <w:r>
        <w:fldChar w:fldCharType="begin"/>
      </w:r>
      <w:r>
        <w:instrText xml:space="preserve"> HYPERLINK \l "_Toc120892130" </w:instrText>
      </w:r>
      <w:r>
        <w:fldChar w:fldCharType="separate"/>
      </w:r>
      <w:r>
        <w:rPr>
          <w:rStyle w:val="98"/>
          <w:rFonts w:hint="eastAsia"/>
          <w:color w:val="auto"/>
        </w:rPr>
        <w:t>评分细则表</w:t>
      </w:r>
      <w:r>
        <w:tab/>
      </w:r>
      <w:r>
        <w:fldChar w:fldCharType="begin"/>
      </w:r>
      <w:r>
        <w:instrText xml:space="preserve"> PAGEREF _Toc120892130 \h </w:instrText>
      </w:r>
      <w:r>
        <w:fldChar w:fldCharType="separate"/>
      </w:r>
      <w:r>
        <w:t>5</w:t>
      </w:r>
      <w:r>
        <w:fldChar w:fldCharType="end"/>
      </w:r>
      <w:r>
        <w:fldChar w:fldCharType="end"/>
      </w:r>
    </w:p>
    <w:p>
      <w:pPr>
        <w:pStyle w:val="57"/>
        <w:ind w:firstLine="566"/>
        <w:rPr>
          <w:rFonts w:asciiTheme="minorHAnsi" w:hAnsiTheme="minorHAnsi" w:eastAsiaTheme="minorEastAsia" w:cstheme="minorBidi"/>
          <w:b w:val="0"/>
          <w:bCs w:val="0"/>
          <w:caps w:val="0"/>
          <w:kern w:val="2"/>
          <w:sz w:val="21"/>
          <w:szCs w:val="22"/>
        </w:rPr>
      </w:pPr>
      <w:r>
        <w:fldChar w:fldCharType="begin"/>
      </w:r>
      <w:r>
        <w:instrText xml:space="preserve"> HYPERLINK \l "_Toc120892131" </w:instrText>
      </w:r>
      <w:r>
        <w:fldChar w:fldCharType="separate"/>
      </w:r>
      <w:r>
        <w:rPr>
          <w:rStyle w:val="98"/>
          <w:rFonts w:hint="eastAsia"/>
          <w:color w:val="auto"/>
        </w:rPr>
        <w:t>第一册</w:t>
      </w:r>
      <w:r>
        <w:rPr>
          <w:rStyle w:val="98"/>
          <w:color w:val="auto"/>
        </w:rPr>
        <w:t xml:space="preserve">  </w:t>
      </w:r>
      <w:r>
        <w:rPr>
          <w:rStyle w:val="98"/>
          <w:rFonts w:hint="eastAsia"/>
          <w:color w:val="auto"/>
        </w:rPr>
        <w:t>专用条款</w:t>
      </w:r>
      <w:r>
        <w:tab/>
      </w:r>
      <w:r>
        <w:fldChar w:fldCharType="begin"/>
      </w:r>
      <w:r>
        <w:instrText xml:space="preserve"> PAGEREF _Toc120892131 \h </w:instrText>
      </w:r>
      <w:r>
        <w:fldChar w:fldCharType="separate"/>
      </w:r>
      <w:r>
        <w:t>13</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"_Toc120892132" </w:instrText>
      </w:r>
      <w:r>
        <w:fldChar w:fldCharType="separate"/>
      </w:r>
      <w:r>
        <w:rPr>
          <w:rStyle w:val="98"/>
          <w:rFonts w:hint="eastAsia"/>
          <w:color w:val="auto"/>
        </w:rPr>
        <w:t>第一章</w:t>
      </w:r>
      <w:r>
        <w:rPr>
          <w:rStyle w:val="98"/>
          <w:color w:val="auto"/>
        </w:rPr>
        <w:t xml:space="preserve"> </w:t>
      </w:r>
      <w:r>
        <w:rPr>
          <w:rStyle w:val="98"/>
          <w:rFonts w:hint="eastAsia"/>
          <w:color w:val="auto"/>
        </w:rPr>
        <w:t>招标公告</w:t>
      </w:r>
      <w:r>
        <w:tab/>
      </w:r>
      <w:r>
        <w:fldChar w:fldCharType="begin"/>
      </w:r>
      <w:r>
        <w:instrText xml:space="preserve"> PAGEREF _Toc120892132 \h </w:instrText>
      </w:r>
      <w:r>
        <w:fldChar w:fldCharType="separate"/>
      </w:r>
      <w:r>
        <w:t>13</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"_Toc120892140" </w:instrText>
      </w:r>
      <w:r>
        <w:fldChar w:fldCharType="separate"/>
      </w:r>
      <w:r>
        <w:rPr>
          <w:rStyle w:val="98"/>
          <w:rFonts w:hint="eastAsia"/>
          <w:color w:val="auto"/>
        </w:rPr>
        <w:t>第二章</w:t>
      </w:r>
      <w:r>
        <w:rPr>
          <w:rStyle w:val="98"/>
          <w:color w:val="auto"/>
        </w:rPr>
        <w:t xml:space="preserve"> </w:t>
      </w:r>
      <w:r>
        <w:rPr>
          <w:rStyle w:val="98"/>
          <w:rFonts w:hint="eastAsia"/>
          <w:color w:val="auto"/>
        </w:rPr>
        <w:t>投标须知前附表</w:t>
      </w:r>
      <w:r>
        <w:tab/>
      </w:r>
      <w:r>
        <w:fldChar w:fldCharType="begin"/>
      </w:r>
      <w:r>
        <w:instrText xml:space="preserve"> PAGEREF _Toc120892140 \h </w:instrText>
      </w:r>
      <w:r>
        <w:fldChar w:fldCharType="separate"/>
      </w:r>
      <w:r>
        <w:t>18</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"_Toc120892141" </w:instrText>
      </w:r>
      <w:r>
        <w:fldChar w:fldCharType="separate"/>
      </w:r>
      <w:r>
        <w:rPr>
          <w:rStyle w:val="98"/>
          <w:rFonts w:hint="eastAsia"/>
          <w:color w:val="auto"/>
        </w:rPr>
        <w:t>第三章</w:t>
      </w:r>
      <w:r>
        <w:rPr>
          <w:rStyle w:val="98"/>
          <w:color w:val="auto"/>
        </w:rPr>
        <w:t xml:space="preserve"> </w:t>
      </w:r>
      <w:r>
        <w:rPr>
          <w:rStyle w:val="98"/>
          <w:rFonts w:hint="eastAsia"/>
          <w:color w:val="auto"/>
        </w:rPr>
        <w:t>项目需求</w:t>
      </w:r>
      <w:r>
        <w:tab/>
      </w:r>
      <w:r>
        <w:fldChar w:fldCharType="begin"/>
      </w:r>
      <w:r>
        <w:instrText xml:space="preserve"> PAGEREF _Toc120892141 \h </w:instrText>
      </w:r>
      <w:r>
        <w:fldChar w:fldCharType="separate"/>
      </w:r>
      <w:r>
        <w:t>19</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"_Toc120892147" </w:instrText>
      </w:r>
      <w:r>
        <w:fldChar w:fldCharType="separate"/>
      </w:r>
      <w:r>
        <w:rPr>
          <w:rStyle w:val="98"/>
          <w:rFonts w:hint="eastAsia"/>
          <w:color w:val="auto"/>
        </w:rPr>
        <w:t>第四章</w:t>
      </w:r>
      <w:r>
        <w:rPr>
          <w:rStyle w:val="98"/>
          <w:color w:val="auto"/>
        </w:rPr>
        <w:t xml:space="preserve"> </w:t>
      </w:r>
      <w:r>
        <w:rPr>
          <w:rStyle w:val="98"/>
          <w:rFonts w:hint="eastAsia"/>
          <w:color w:val="auto"/>
        </w:rPr>
        <w:t>采购合同的签订、履约及验收</w:t>
      </w:r>
      <w:r>
        <w:tab/>
      </w:r>
      <w:r>
        <w:fldChar w:fldCharType="begin"/>
      </w:r>
      <w:r>
        <w:instrText xml:space="preserve"> PAGEREF _Toc120892147 \h </w:instrText>
      </w:r>
      <w:r>
        <w:fldChar w:fldCharType="separate"/>
      </w:r>
      <w:r>
        <w:t>25</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"_Toc120892177" </w:instrText>
      </w:r>
      <w:r>
        <w:fldChar w:fldCharType="separate"/>
      </w:r>
      <w:r>
        <w:rPr>
          <w:rStyle w:val="98"/>
          <w:rFonts w:hint="eastAsia"/>
          <w:color w:val="auto"/>
        </w:rPr>
        <w:t>第五章</w:t>
      </w:r>
      <w:r>
        <w:rPr>
          <w:rStyle w:val="98"/>
          <w:color w:val="auto"/>
        </w:rPr>
        <w:t xml:space="preserve"> </w:t>
      </w:r>
      <w:r>
        <w:rPr>
          <w:rStyle w:val="98"/>
          <w:rFonts w:hint="eastAsia"/>
          <w:color w:val="auto"/>
        </w:rPr>
        <w:t>投标文件格式、附件</w:t>
      </w:r>
      <w:r>
        <w:tab/>
      </w:r>
      <w:r>
        <w:fldChar w:fldCharType="begin"/>
      </w:r>
      <w:r>
        <w:instrText xml:space="preserve"> PAGEREF _Toc120892177 \h </w:instrText>
      </w:r>
      <w:r>
        <w:fldChar w:fldCharType="separate"/>
      </w:r>
      <w:r>
        <w:t>30</w:t>
      </w:r>
      <w:r>
        <w:fldChar w:fldCharType="end"/>
      </w:r>
      <w:r>
        <w:fldChar w:fldCharType="end"/>
      </w:r>
    </w:p>
    <w:p>
      <w:pPr>
        <w:pStyle w:val="57"/>
        <w:ind w:firstLine="566"/>
        <w:rPr>
          <w:rFonts w:asciiTheme="minorHAnsi" w:hAnsiTheme="minorHAnsi" w:eastAsiaTheme="minorEastAsia" w:cstheme="minorBidi"/>
          <w:b w:val="0"/>
          <w:bCs w:val="0"/>
          <w:caps w:val="0"/>
          <w:kern w:val="2"/>
          <w:sz w:val="21"/>
          <w:szCs w:val="22"/>
        </w:rPr>
      </w:pPr>
      <w:r>
        <w:fldChar w:fldCharType="begin"/>
      </w:r>
      <w:r>
        <w:instrText xml:space="preserve"> HYPERLINK \l "_Toc120892181" </w:instrText>
      </w:r>
      <w:r>
        <w:fldChar w:fldCharType="separate"/>
      </w:r>
      <w:r>
        <w:rPr>
          <w:rStyle w:val="98"/>
          <w:rFonts w:hint="eastAsia"/>
          <w:color w:val="auto"/>
        </w:rPr>
        <w:t>第二册</w:t>
      </w:r>
      <w:r>
        <w:rPr>
          <w:rStyle w:val="98"/>
          <w:color w:val="auto"/>
        </w:rPr>
        <w:t xml:space="preserve">  </w:t>
      </w:r>
      <w:r>
        <w:rPr>
          <w:rStyle w:val="98"/>
          <w:rFonts w:hint="eastAsia"/>
          <w:color w:val="auto"/>
        </w:rPr>
        <w:t>通用条款</w:t>
      </w:r>
      <w:r>
        <w:tab/>
      </w:r>
      <w:r>
        <w:fldChar w:fldCharType="begin"/>
      </w:r>
      <w:r>
        <w:instrText xml:space="preserve"> PAGEREF _Toc120892181 \h </w:instrText>
      </w:r>
      <w:r>
        <w:fldChar w:fldCharType="separate"/>
      </w:r>
      <w:r>
        <w:t>53</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"_Toc120892182" </w:instrText>
      </w:r>
      <w:r>
        <w:fldChar w:fldCharType="separate"/>
      </w:r>
      <w:r>
        <w:rPr>
          <w:rStyle w:val="98"/>
          <w:rFonts w:hint="eastAsia"/>
          <w:color w:val="auto"/>
        </w:rPr>
        <w:t>第一章</w:t>
      </w:r>
      <w:r>
        <w:rPr>
          <w:rStyle w:val="98"/>
          <w:color w:val="auto"/>
        </w:rPr>
        <w:t xml:space="preserve"> </w:t>
      </w:r>
      <w:r>
        <w:rPr>
          <w:rStyle w:val="98"/>
          <w:rFonts w:hint="eastAsia"/>
          <w:color w:val="auto"/>
        </w:rPr>
        <w:t>总则</w:t>
      </w:r>
      <w:r>
        <w:tab/>
      </w:r>
      <w:r>
        <w:fldChar w:fldCharType="begin"/>
      </w:r>
      <w:r>
        <w:instrText xml:space="preserve"> PAGEREF _Toc120892182 \h </w:instrText>
      </w:r>
      <w:r>
        <w:fldChar w:fldCharType="separate"/>
      </w:r>
      <w:r>
        <w:t>53</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"_Toc120892183" </w:instrText>
      </w:r>
      <w:r>
        <w:fldChar w:fldCharType="separate"/>
      </w:r>
      <w:r>
        <w:rPr>
          <w:rStyle w:val="98"/>
          <w:rFonts w:hint="eastAsia"/>
          <w:color w:val="auto"/>
        </w:rPr>
        <w:t>第二章</w:t>
      </w:r>
      <w:r>
        <w:rPr>
          <w:rStyle w:val="98"/>
          <w:color w:val="auto"/>
        </w:rPr>
        <w:t xml:space="preserve"> </w:t>
      </w:r>
      <w:r>
        <w:rPr>
          <w:rStyle w:val="98"/>
          <w:rFonts w:hint="eastAsia"/>
          <w:color w:val="auto"/>
        </w:rPr>
        <w:t>招标文件</w:t>
      </w:r>
      <w:r>
        <w:tab/>
      </w:r>
      <w:r>
        <w:fldChar w:fldCharType="begin"/>
      </w:r>
      <w:r>
        <w:instrText xml:space="preserve"> PAGEREF _Toc120892183 \h </w:instrText>
      </w:r>
      <w:r>
        <w:fldChar w:fldCharType="separate"/>
      </w:r>
      <w:r>
        <w:t>55</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"_Toc120892184" </w:instrText>
      </w:r>
      <w:r>
        <w:fldChar w:fldCharType="separate"/>
      </w:r>
      <w:r>
        <w:rPr>
          <w:rStyle w:val="98"/>
          <w:rFonts w:hint="eastAsia"/>
          <w:color w:val="auto"/>
        </w:rPr>
        <w:t>第三章</w:t>
      </w:r>
      <w:r>
        <w:rPr>
          <w:rStyle w:val="98"/>
          <w:color w:val="auto"/>
        </w:rPr>
        <w:t xml:space="preserve"> </w:t>
      </w:r>
      <w:r>
        <w:rPr>
          <w:rStyle w:val="98"/>
          <w:rFonts w:hint="eastAsia"/>
          <w:color w:val="auto"/>
        </w:rPr>
        <w:t>投标文件的编制与递交</w:t>
      </w:r>
      <w:r>
        <w:tab/>
      </w:r>
      <w:r>
        <w:fldChar w:fldCharType="begin"/>
      </w:r>
      <w:r>
        <w:instrText xml:space="preserve"> PAGEREF _Toc120892184 \h </w:instrText>
      </w:r>
      <w:r>
        <w:fldChar w:fldCharType="separate"/>
      </w:r>
      <w:r>
        <w:t>57</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"_Toc120892185" </w:instrText>
      </w:r>
      <w:r>
        <w:fldChar w:fldCharType="separate"/>
      </w:r>
      <w:r>
        <w:rPr>
          <w:rStyle w:val="98"/>
          <w:rFonts w:hint="eastAsia"/>
          <w:color w:val="auto"/>
        </w:rPr>
        <w:t>第四章</w:t>
      </w:r>
      <w:r>
        <w:rPr>
          <w:rStyle w:val="98"/>
          <w:color w:val="auto"/>
        </w:rPr>
        <w:t xml:space="preserve"> </w:t>
      </w:r>
      <w:r>
        <w:rPr>
          <w:rStyle w:val="98"/>
          <w:rFonts w:hint="eastAsia"/>
          <w:color w:val="auto"/>
        </w:rPr>
        <w:t>开标</w:t>
      </w:r>
      <w:r>
        <w:tab/>
      </w:r>
      <w:r>
        <w:fldChar w:fldCharType="begin"/>
      </w:r>
      <w:r>
        <w:instrText xml:space="preserve"> PAGEREF _Toc120892185 \h </w:instrText>
      </w:r>
      <w:r>
        <w:fldChar w:fldCharType="separate"/>
      </w:r>
      <w:r>
        <w:t>61</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"_Toc120892186" </w:instrText>
      </w:r>
      <w:r>
        <w:fldChar w:fldCharType="separate"/>
      </w:r>
      <w:r>
        <w:rPr>
          <w:rStyle w:val="98"/>
          <w:rFonts w:hint="eastAsia"/>
          <w:color w:val="auto"/>
        </w:rPr>
        <w:t>第五章</w:t>
      </w:r>
      <w:r>
        <w:rPr>
          <w:rStyle w:val="98"/>
          <w:color w:val="auto"/>
        </w:rPr>
        <w:t xml:space="preserve"> </w:t>
      </w:r>
      <w:r>
        <w:rPr>
          <w:rStyle w:val="98"/>
          <w:rFonts w:hint="eastAsia"/>
          <w:color w:val="auto"/>
        </w:rPr>
        <w:t>评标要求</w:t>
      </w:r>
      <w:r>
        <w:tab/>
      </w:r>
      <w:r>
        <w:fldChar w:fldCharType="begin"/>
      </w:r>
      <w:r>
        <w:instrText xml:space="preserve"> PAGEREF _Toc120892186 \h </w:instrText>
      </w:r>
      <w:r>
        <w:fldChar w:fldCharType="separate"/>
      </w:r>
      <w:r>
        <w:t>62</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"_Toc120892187" </w:instrText>
      </w:r>
      <w:r>
        <w:fldChar w:fldCharType="separate"/>
      </w:r>
      <w:r>
        <w:rPr>
          <w:rStyle w:val="98"/>
          <w:rFonts w:hint="eastAsia"/>
          <w:color w:val="auto"/>
        </w:rPr>
        <w:t>第六章</w:t>
      </w:r>
      <w:r>
        <w:rPr>
          <w:rStyle w:val="98"/>
          <w:color w:val="auto"/>
        </w:rPr>
        <w:t xml:space="preserve"> </w:t>
      </w:r>
      <w:r>
        <w:rPr>
          <w:rStyle w:val="98"/>
          <w:rFonts w:hint="eastAsia"/>
          <w:color w:val="auto"/>
        </w:rPr>
        <w:t>评标程序及评标方法</w:t>
      </w:r>
      <w:r>
        <w:tab/>
      </w:r>
      <w:r>
        <w:fldChar w:fldCharType="begin"/>
      </w:r>
      <w:r>
        <w:instrText xml:space="preserve"> PAGEREF _Toc120892187 \h </w:instrText>
      </w:r>
      <w:r>
        <w:fldChar w:fldCharType="separate"/>
      </w:r>
      <w:r>
        <w:t>63</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"_Toc120892188" </w:instrText>
      </w:r>
      <w:r>
        <w:fldChar w:fldCharType="separate"/>
      </w:r>
      <w:r>
        <w:rPr>
          <w:rStyle w:val="98"/>
          <w:rFonts w:hint="eastAsia"/>
          <w:color w:val="auto"/>
        </w:rPr>
        <w:t>第七章</w:t>
      </w:r>
      <w:r>
        <w:rPr>
          <w:rStyle w:val="98"/>
          <w:color w:val="auto"/>
        </w:rPr>
        <w:t xml:space="preserve"> </w:t>
      </w:r>
      <w:r>
        <w:rPr>
          <w:rStyle w:val="98"/>
          <w:rFonts w:hint="eastAsia"/>
          <w:color w:val="auto"/>
        </w:rPr>
        <w:t>定标及公示</w:t>
      </w:r>
      <w:r>
        <w:tab/>
      </w:r>
      <w:r>
        <w:fldChar w:fldCharType="begin"/>
      </w:r>
      <w:r>
        <w:instrText xml:space="preserve"> PAGEREF _Toc120892188 \h </w:instrText>
      </w:r>
      <w:r>
        <w:fldChar w:fldCharType="separate"/>
      </w:r>
      <w:r>
        <w:t>66</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"_Toc120892189" </w:instrText>
      </w:r>
      <w:r>
        <w:fldChar w:fldCharType="separate"/>
      </w:r>
      <w:r>
        <w:rPr>
          <w:rStyle w:val="98"/>
          <w:rFonts w:hint="eastAsia"/>
          <w:color w:val="auto"/>
        </w:rPr>
        <w:t>第八章</w:t>
      </w:r>
      <w:r>
        <w:rPr>
          <w:rStyle w:val="98"/>
          <w:color w:val="auto"/>
        </w:rPr>
        <w:t xml:space="preserve"> </w:t>
      </w:r>
      <w:r>
        <w:rPr>
          <w:rStyle w:val="98"/>
          <w:rFonts w:hint="eastAsia"/>
          <w:color w:val="auto"/>
        </w:rPr>
        <w:t>公开招标失败的后续处理</w:t>
      </w:r>
      <w:r>
        <w:tab/>
      </w:r>
      <w:r>
        <w:fldChar w:fldCharType="begin"/>
      </w:r>
      <w:r>
        <w:instrText xml:space="preserve"> PAGEREF _Toc120892189 \h </w:instrText>
      </w:r>
      <w:r>
        <w:fldChar w:fldCharType="separate"/>
      </w:r>
      <w:r>
        <w:t>67</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"_Toc120892190" </w:instrText>
      </w:r>
      <w:r>
        <w:fldChar w:fldCharType="separate"/>
      </w:r>
      <w:r>
        <w:rPr>
          <w:rStyle w:val="98"/>
          <w:rFonts w:hint="eastAsia"/>
          <w:color w:val="auto"/>
        </w:rPr>
        <w:t>第九章</w:t>
      </w:r>
      <w:r>
        <w:rPr>
          <w:rStyle w:val="98"/>
          <w:color w:val="auto"/>
        </w:rPr>
        <w:t xml:space="preserve"> </w:t>
      </w:r>
      <w:r>
        <w:rPr>
          <w:rStyle w:val="98"/>
          <w:rFonts w:hint="eastAsia"/>
          <w:color w:val="auto"/>
        </w:rPr>
        <w:t>合同的授予与备案</w:t>
      </w:r>
      <w:r>
        <w:tab/>
      </w:r>
      <w:r>
        <w:fldChar w:fldCharType="begin"/>
      </w:r>
      <w:r>
        <w:instrText xml:space="preserve"> PAGEREF _Toc120892190 \h </w:instrText>
      </w:r>
      <w:r>
        <w:fldChar w:fldCharType="separate"/>
      </w:r>
      <w:r>
        <w:t>70</w:t>
      </w:r>
      <w:r>
        <w:fldChar w:fldCharType="end"/>
      </w:r>
      <w:r>
        <w:fldChar w:fldCharType="end"/>
      </w:r>
    </w:p>
    <w:p>
      <w:pPr>
        <w:pStyle w:val="71"/>
        <w:ind w:left="105" w:firstLine="568"/>
        <w:rPr>
          <w:rFonts w:asciiTheme="minorHAnsi" w:hAnsiTheme="minorHAnsi" w:eastAsiaTheme="minorEastAsia" w:cstheme="minorBidi"/>
          <w:smallCaps w:val="0"/>
          <w:kern w:val="2"/>
          <w:sz w:val="21"/>
          <w:szCs w:val="22"/>
        </w:rPr>
      </w:pPr>
      <w:r>
        <w:fldChar w:fldCharType="begin"/>
      </w:r>
      <w:r>
        <w:instrText xml:space="preserve"> HYPERLINK \l "_Toc120892191" </w:instrText>
      </w:r>
      <w:r>
        <w:fldChar w:fldCharType="separate"/>
      </w:r>
      <w:r>
        <w:rPr>
          <w:rStyle w:val="98"/>
          <w:rFonts w:hint="eastAsia"/>
          <w:color w:val="auto"/>
        </w:rPr>
        <w:t>第十章</w:t>
      </w:r>
      <w:r>
        <w:rPr>
          <w:rStyle w:val="98"/>
          <w:color w:val="auto"/>
        </w:rPr>
        <w:t xml:space="preserve"> </w:t>
      </w:r>
      <w:r>
        <w:rPr>
          <w:rStyle w:val="98"/>
          <w:rFonts w:hint="eastAsia"/>
          <w:color w:val="auto"/>
        </w:rPr>
        <w:t>质疑受理</w:t>
      </w:r>
      <w:r>
        <w:tab/>
      </w:r>
      <w:r>
        <w:fldChar w:fldCharType="begin"/>
      </w:r>
      <w:r>
        <w:instrText xml:space="preserve"> PAGEREF _Toc120892191 \h </w:instrText>
      </w:r>
      <w:r>
        <w:fldChar w:fldCharType="separate"/>
      </w:r>
      <w:r>
        <w:t>70</w:t>
      </w:r>
      <w:r>
        <w:fldChar w:fldCharType="end"/>
      </w:r>
      <w:r>
        <w:fldChar w:fldCharType="end"/>
      </w:r>
    </w:p>
    <w:p>
      <w:pPr>
        <w:pStyle w:val="57"/>
        <w:ind w:firstLine="566"/>
        <w:rPr>
          <w:rFonts w:asciiTheme="minorHAnsi" w:hAnsiTheme="minorHAnsi" w:eastAsiaTheme="minorEastAsia" w:cstheme="minorBidi"/>
          <w:b w:val="0"/>
          <w:bCs w:val="0"/>
          <w:caps w:val="0"/>
          <w:kern w:val="2"/>
          <w:sz w:val="21"/>
          <w:szCs w:val="22"/>
        </w:rPr>
      </w:pPr>
      <w:r>
        <w:fldChar w:fldCharType="begin"/>
      </w:r>
      <w:r>
        <w:instrText xml:space="preserve"> HYPERLINK \l "_Toc120892192" </w:instrText>
      </w:r>
      <w:r>
        <w:fldChar w:fldCharType="separate"/>
      </w:r>
      <w:r>
        <w:rPr>
          <w:rStyle w:val="98"/>
          <w:rFonts w:hint="eastAsia"/>
          <w:color w:val="auto"/>
        </w:rPr>
        <w:t>招标代理服务取费说明</w:t>
      </w:r>
      <w:r>
        <w:tab/>
      </w:r>
      <w:r>
        <w:fldChar w:fldCharType="begin"/>
      </w:r>
      <w:r>
        <w:instrText xml:space="preserve"> PAGEREF _Toc120892192 \h </w:instrText>
      </w:r>
      <w:r>
        <w:fldChar w:fldCharType="separate"/>
      </w:r>
      <w:r>
        <w:t>73</w:t>
      </w:r>
      <w:r>
        <w:fldChar w:fldCharType="end"/>
      </w:r>
      <w:r>
        <w:fldChar w:fldCharType="end"/>
      </w:r>
    </w:p>
    <w:p>
      <w:pPr>
        <w:tabs>
          <w:tab w:val="right" w:leader="dot" w:pos="8820"/>
          <w:tab w:val="right" w:leader="dot" w:pos="9240"/>
          <w:tab w:val="clear" w:pos="426"/>
        </w:tabs>
        <w:ind w:firstLine="568"/>
        <w:sectPr>
          <w:headerReference r:id="rId6" w:type="first"/>
          <w:headerReference r:id="rId5" w:type="default"/>
          <w:footerReference r:id="rId7" w:type="even"/>
          <w:pgSz w:w="11906" w:h="16838"/>
          <w:pgMar w:top="1134" w:right="1700" w:bottom="1134" w:left="1418" w:header="851" w:footer="992" w:gutter="0"/>
          <w:pgNumType w:fmt="decimal" w:start="0"/>
          <w:cols w:space="720" w:num="1"/>
          <w:titlePg/>
          <w:docGrid w:linePitch="462" w:charSpace="0"/>
        </w:sectPr>
      </w:pPr>
      <w:r>
        <w:rPr>
          <w:smallCaps/>
          <w:sz w:val="28"/>
        </w:rPr>
        <w:fldChar w:fldCharType="end"/>
      </w:r>
    </w:p>
    <w:p>
      <w:pPr>
        <w:pStyle w:val="62"/>
        <w:widowControl w:val="0"/>
        <w:shd w:val="clear" w:color="auto" w:fill="auto"/>
        <w:tabs>
          <w:tab w:val="clear" w:pos="426"/>
        </w:tabs>
        <w:adjustRightInd/>
        <w:snapToGrid/>
        <w:ind w:firstLine="727"/>
        <w:outlineLvl w:val="0"/>
        <w:rPr>
          <w:rFonts w:ascii="宋体"/>
          <w:bCs w:val="0"/>
          <w:sz w:val="36"/>
          <w:szCs w:val="36"/>
        </w:rPr>
      </w:pPr>
      <w:bookmarkStart w:id="0" w:name="_Toc432592808"/>
      <w:bookmarkStart w:id="1" w:name="_Toc120892127"/>
      <w:r>
        <w:rPr>
          <w:rFonts w:hint="eastAsia" w:ascii="宋体"/>
          <w:bCs w:val="0"/>
          <w:sz w:val="36"/>
          <w:szCs w:val="36"/>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szCs w:val="21"/>
              </w:rPr>
            </w:pPr>
            <w:r>
              <w:rPr>
                <w:rFonts w:hint="eastAsia"/>
                <w:szCs w:val="21"/>
              </w:rPr>
              <w:t>项目编号</w:t>
            </w:r>
          </w:p>
        </w:tc>
        <w:tc>
          <w:tcPr>
            <w:tcW w:w="6152" w:type="dxa"/>
            <w:vAlign w:val="center"/>
          </w:tcPr>
          <w:p>
            <w:pPr>
              <w:tabs>
                <w:tab w:val="clear" w:pos="426"/>
              </w:tabs>
              <w:adjustRightInd/>
              <w:snapToGrid/>
              <w:spacing w:line="240" w:lineRule="auto"/>
              <w:rPr>
                <w:szCs w:val="21"/>
              </w:rPr>
            </w:pPr>
            <w:r>
              <w:rPr>
                <w:szCs w:val="21"/>
              </w:rPr>
              <w:t>SSZX2024-152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szCs w:val="21"/>
              </w:rPr>
            </w:pPr>
            <w:r>
              <w:rPr>
                <w:rFonts w:hint="eastAsia"/>
                <w:szCs w:val="21"/>
              </w:rPr>
              <w:t>项目名称</w:t>
            </w:r>
          </w:p>
        </w:tc>
        <w:tc>
          <w:tcPr>
            <w:tcW w:w="6152" w:type="dxa"/>
            <w:vAlign w:val="center"/>
          </w:tcPr>
          <w:p>
            <w:pPr>
              <w:tabs>
                <w:tab w:val="clear" w:pos="426"/>
              </w:tabs>
              <w:adjustRightInd/>
              <w:snapToGrid/>
              <w:spacing w:line="240" w:lineRule="auto"/>
              <w:rPr>
                <w:szCs w:val="21"/>
              </w:rPr>
            </w:pPr>
            <w:r>
              <w:rPr>
                <w:rFonts w:hint="eastAsia"/>
                <w:szCs w:val="21"/>
              </w:rPr>
              <w:t>广东省深圳市宝安区消防救援大队2024年食堂配菜服务采购项目（A/B/C包）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szCs w:val="21"/>
              </w:rPr>
            </w:pPr>
            <w:r>
              <w:rPr>
                <w:rFonts w:hint="eastAsia"/>
                <w:szCs w:val="21"/>
              </w:rPr>
              <w:t>项目类型</w:t>
            </w:r>
          </w:p>
        </w:tc>
        <w:tc>
          <w:tcPr>
            <w:tcW w:w="6152" w:type="dxa"/>
            <w:vAlign w:val="center"/>
          </w:tcPr>
          <w:p>
            <w:pPr>
              <w:tabs>
                <w:tab w:val="clear" w:pos="426"/>
              </w:tabs>
              <w:adjustRightInd/>
              <w:snapToGrid/>
              <w:spacing w:line="240" w:lineRule="auto"/>
              <w:rPr>
                <w:szCs w:val="21"/>
              </w:rPr>
            </w:pPr>
            <w:r>
              <w:rPr>
                <w:rFonts w:hint="eastAsia"/>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szCs w:val="21"/>
              </w:rPr>
            </w:pPr>
            <w:r>
              <w:rPr>
                <w:rFonts w:hint="eastAsia"/>
                <w:szCs w:val="21"/>
              </w:rPr>
              <w:t>采购方式</w:t>
            </w:r>
          </w:p>
        </w:tc>
        <w:tc>
          <w:tcPr>
            <w:tcW w:w="6152" w:type="dxa"/>
            <w:vAlign w:val="center"/>
          </w:tcPr>
          <w:p>
            <w:pPr>
              <w:tabs>
                <w:tab w:val="clear" w:pos="426"/>
              </w:tabs>
              <w:adjustRightInd/>
              <w:snapToGrid/>
              <w:spacing w:line="240" w:lineRule="auto"/>
              <w:rPr>
                <w:szCs w:val="21"/>
              </w:rPr>
            </w:pPr>
            <w:r>
              <w:rPr>
                <w:rFonts w:hint="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szCs w:val="21"/>
              </w:rPr>
            </w:pPr>
            <w:r>
              <w:rPr>
                <w:rFonts w:hint="eastAsia"/>
                <w:szCs w:val="21"/>
              </w:rPr>
              <w:t>货币类型</w:t>
            </w:r>
          </w:p>
        </w:tc>
        <w:tc>
          <w:tcPr>
            <w:tcW w:w="6152" w:type="dxa"/>
            <w:vAlign w:val="center"/>
          </w:tcPr>
          <w:p>
            <w:pPr>
              <w:tabs>
                <w:tab w:val="clear" w:pos="426"/>
              </w:tabs>
              <w:adjustRightInd/>
              <w:snapToGrid/>
              <w:spacing w:line="240" w:lineRule="auto"/>
              <w:rPr>
                <w:szCs w:val="21"/>
              </w:rPr>
            </w:pPr>
            <w:r>
              <w:rPr>
                <w:rFonts w:hint="eastAsia"/>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szCs w:val="21"/>
              </w:rPr>
            </w:pPr>
            <w:r>
              <w:rPr>
                <w:rFonts w:hint="eastAsia"/>
                <w:szCs w:val="21"/>
              </w:rPr>
              <w:t>预算金额</w:t>
            </w:r>
          </w:p>
        </w:tc>
        <w:tc>
          <w:tcPr>
            <w:tcW w:w="6152" w:type="dxa"/>
            <w:vAlign w:val="center"/>
          </w:tcPr>
          <w:p>
            <w:pPr>
              <w:tabs>
                <w:tab w:val="clear" w:pos="426"/>
              </w:tabs>
              <w:adjustRightInd/>
              <w:snapToGrid/>
              <w:spacing w:line="240" w:lineRule="auto"/>
              <w:rPr>
                <w:szCs w:val="21"/>
              </w:rPr>
            </w:pPr>
            <w:r>
              <w:rPr>
                <w:rFonts w:hint="eastAsia"/>
                <w:szCs w:val="21"/>
              </w:rPr>
              <w:t>总预算金额：4873.590000万元（人民币肆仟捌佰柒拾叁万伍仟玖佰元整）</w:t>
            </w:r>
          </w:p>
          <w:p>
            <w:pPr>
              <w:tabs>
                <w:tab w:val="clear" w:pos="426"/>
              </w:tabs>
              <w:adjustRightInd/>
              <w:snapToGrid/>
              <w:spacing w:line="240" w:lineRule="auto"/>
              <w:rPr>
                <w:szCs w:val="21"/>
              </w:rPr>
            </w:pPr>
            <w:r>
              <w:rPr>
                <w:szCs w:val="21"/>
              </w:rPr>
              <w:t>A</w:t>
            </w:r>
            <w:r>
              <w:rPr>
                <w:rFonts w:hint="eastAsia"/>
                <w:szCs w:val="21"/>
              </w:rPr>
              <w:t>包：</w:t>
            </w:r>
            <w:r>
              <w:rPr>
                <w:rFonts w:hint="eastAsia" w:ascii="微软雅黑" w:hAnsi="微软雅黑" w:eastAsia="微软雅黑"/>
                <w:bCs/>
                <w:szCs w:val="21"/>
              </w:rPr>
              <w:t>￥</w:t>
            </w:r>
            <w:r>
              <w:rPr>
                <w:szCs w:val="21"/>
              </w:rPr>
              <w:t>2040.890000</w:t>
            </w:r>
            <w:r>
              <w:rPr>
                <w:rFonts w:hint="eastAsia"/>
                <w:szCs w:val="21"/>
              </w:rPr>
              <w:t>万元（</w:t>
            </w:r>
            <w:r>
              <w:rPr>
                <w:rFonts w:hint="eastAsia"/>
                <w:bCs/>
                <w:szCs w:val="21"/>
              </w:rPr>
              <w:t>人民币</w:t>
            </w:r>
            <w:r>
              <w:rPr>
                <w:rFonts w:hint="eastAsia"/>
                <w:szCs w:val="21"/>
              </w:rPr>
              <w:t>贰仟零肆拾万捌仟玖佰元整）</w:t>
            </w:r>
          </w:p>
          <w:p>
            <w:pPr>
              <w:tabs>
                <w:tab w:val="clear" w:pos="426"/>
              </w:tabs>
              <w:adjustRightInd/>
              <w:snapToGrid/>
              <w:spacing w:line="240" w:lineRule="auto"/>
              <w:rPr>
                <w:szCs w:val="21"/>
              </w:rPr>
            </w:pPr>
            <w:r>
              <w:rPr>
                <w:szCs w:val="21"/>
              </w:rPr>
              <w:t>B</w:t>
            </w:r>
            <w:r>
              <w:rPr>
                <w:rFonts w:hint="eastAsia"/>
                <w:szCs w:val="21"/>
              </w:rPr>
              <w:t>包：</w:t>
            </w:r>
            <w:r>
              <w:rPr>
                <w:rFonts w:hint="eastAsia" w:ascii="微软雅黑" w:hAnsi="微软雅黑" w:eastAsia="微软雅黑"/>
                <w:bCs/>
                <w:szCs w:val="21"/>
              </w:rPr>
              <w:t>￥</w:t>
            </w:r>
            <w:r>
              <w:rPr>
                <w:szCs w:val="21"/>
              </w:rPr>
              <w:t>1547.180000</w:t>
            </w:r>
            <w:r>
              <w:rPr>
                <w:rFonts w:hint="eastAsia"/>
                <w:szCs w:val="21"/>
              </w:rPr>
              <w:t>万元（</w:t>
            </w:r>
            <w:r>
              <w:rPr>
                <w:rFonts w:hint="eastAsia"/>
                <w:bCs/>
                <w:szCs w:val="21"/>
              </w:rPr>
              <w:t>人民币</w:t>
            </w:r>
            <w:r>
              <w:rPr>
                <w:rFonts w:hint="eastAsia"/>
                <w:szCs w:val="21"/>
              </w:rPr>
              <w:t>壹仟伍佰肆拾柒万壹仟捌佰元整）</w:t>
            </w:r>
          </w:p>
          <w:p>
            <w:pPr>
              <w:tabs>
                <w:tab w:val="clear" w:pos="426"/>
              </w:tabs>
              <w:adjustRightInd/>
              <w:snapToGrid/>
              <w:spacing w:line="240" w:lineRule="auto"/>
              <w:rPr>
                <w:bCs/>
                <w:szCs w:val="21"/>
              </w:rPr>
            </w:pPr>
            <w:r>
              <w:rPr>
                <w:szCs w:val="21"/>
              </w:rPr>
              <w:t>C</w:t>
            </w:r>
            <w:r>
              <w:rPr>
                <w:rFonts w:hint="eastAsia"/>
                <w:szCs w:val="21"/>
              </w:rPr>
              <w:t>包：</w:t>
            </w:r>
            <w:r>
              <w:rPr>
                <w:rFonts w:hint="eastAsia" w:ascii="微软雅黑" w:hAnsi="微软雅黑" w:eastAsia="微软雅黑"/>
                <w:bCs/>
                <w:szCs w:val="21"/>
              </w:rPr>
              <w:t>￥</w:t>
            </w:r>
            <w:r>
              <w:rPr>
                <w:szCs w:val="21"/>
              </w:rPr>
              <w:t>1285.520000</w:t>
            </w:r>
            <w:r>
              <w:rPr>
                <w:rFonts w:hint="eastAsia"/>
                <w:szCs w:val="21"/>
              </w:rPr>
              <w:t>万元（</w:t>
            </w:r>
            <w:r>
              <w:rPr>
                <w:rFonts w:hint="eastAsia"/>
                <w:bCs/>
                <w:szCs w:val="21"/>
              </w:rPr>
              <w:t>人民币</w:t>
            </w:r>
            <w:r>
              <w:rPr>
                <w:rFonts w:hint="eastAsia"/>
                <w:szCs w:val="21"/>
              </w:rPr>
              <w:t>壹仟贰佰捌拾伍万伍仟贰佰元整）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pPr>
            <w:r>
              <w:rPr>
                <w:rFonts w:hint="eastAsia"/>
              </w:rPr>
              <w:t>评定分离</w:t>
            </w:r>
          </w:p>
        </w:tc>
        <w:tc>
          <w:tcPr>
            <w:tcW w:w="6152" w:type="dxa"/>
            <w:vAlign w:val="center"/>
          </w:tcPr>
          <w:p>
            <w:pPr>
              <w:tabs>
                <w:tab w:val="clear" w:pos="426"/>
              </w:tabs>
              <w:adjustRightInd/>
              <w:snapToGrid/>
              <w:spacing w:line="240" w:lineRule="auto"/>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bCs/>
                <w:szCs w:val="21"/>
              </w:rPr>
            </w:pPr>
            <w:r>
              <w:rPr>
                <w:rFonts w:hint="eastAsia"/>
                <w:bCs/>
                <w:szCs w:val="21"/>
              </w:rPr>
              <w:t>评标方法</w:t>
            </w:r>
          </w:p>
        </w:tc>
        <w:tc>
          <w:tcPr>
            <w:tcW w:w="6152" w:type="dxa"/>
            <w:vAlign w:val="center"/>
          </w:tcPr>
          <w:p>
            <w:pPr>
              <w:tabs>
                <w:tab w:val="clear" w:pos="426"/>
              </w:tabs>
              <w:adjustRightInd/>
              <w:snapToGrid/>
              <w:spacing w:line="240" w:lineRule="auto"/>
              <w:rPr>
                <w:szCs w:val="21"/>
              </w:rPr>
            </w:pPr>
            <w:r>
              <w:rPr>
                <w:rFonts w:hint="eastAsia"/>
              </w:rPr>
              <w:t>■</w:t>
            </w:r>
            <w:r>
              <w:rPr>
                <w:rFonts w:hint="eastAsia"/>
                <w:szCs w:val="21"/>
              </w:rPr>
              <w:t>综合评分法</w:t>
            </w: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bCs/>
                <w:szCs w:val="21"/>
              </w:rPr>
            </w:pPr>
            <w:r>
              <w:rPr>
                <w:rFonts w:hint="eastAsia"/>
                <w:bCs/>
                <w:szCs w:val="21"/>
              </w:rPr>
              <w:t>定标方法</w:t>
            </w:r>
          </w:p>
        </w:tc>
        <w:tc>
          <w:tcPr>
            <w:tcW w:w="6152" w:type="dxa"/>
            <w:vAlign w:val="center"/>
          </w:tcPr>
          <w:p>
            <w:pPr>
              <w:tabs>
                <w:tab w:val="clear" w:pos="426"/>
              </w:tabs>
              <w:adjustRightInd/>
              <w:snapToGrid/>
              <w:spacing w:line="240" w:lineRule="auto"/>
              <w:rPr>
                <w:szCs w:val="21"/>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pPr>
            <w:r>
              <w:rPr>
                <w:rFonts w:hint="eastAsia"/>
              </w:rPr>
              <w:t>投标供应商的替代方案</w:t>
            </w:r>
          </w:p>
        </w:tc>
        <w:tc>
          <w:tcPr>
            <w:tcW w:w="6152" w:type="dxa"/>
            <w:vAlign w:val="center"/>
          </w:tcPr>
          <w:p>
            <w:pPr>
              <w:tabs>
                <w:tab w:val="clear" w:pos="426"/>
              </w:tabs>
              <w:adjustRightInd/>
              <w:snapToGrid/>
              <w:spacing w:line="240" w:lineRule="auto"/>
              <w:rPr>
                <w:u w:val="single"/>
              </w:rPr>
            </w:pPr>
            <w:r>
              <w:rPr>
                <w:rFonts w:hint="eastAsia"/>
                <w:szCs w:val="21"/>
              </w:rPr>
              <w:t>不允许</w:t>
            </w: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pPr>
            <w:r>
              <w:rPr>
                <w:rFonts w:hint="eastAsia"/>
              </w:rPr>
              <w:t>投标有效期</w:t>
            </w:r>
          </w:p>
        </w:tc>
        <w:tc>
          <w:tcPr>
            <w:tcW w:w="6152" w:type="dxa"/>
            <w:vAlign w:val="center"/>
          </w:tcPr>
          <w:p>
            <w:pPr>
              <w:tabs>
                <w:tab w:val="clear" w:pos="426"/>
              </w:tabs>
              <w:adjustRightInd/>
              <w:snapToGrid/>
              <w:spacing w:line="240" w:lineRule="auto"/>
              <w:rPr>
                <w:szCs w:val="21"/>
              </w:rPr>
            </w:pPr>
            <w:r>
              <w:rPr>
                <w:szCs w:val="21"/>
              </w:rPr>
              <w:t>120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376" w:type="dxa"/>
            <w:vAlign w:val="center"/>
          </w:tcPr>
          <w:p>
            <w:pPr>
              <w:tabs>
                <w:tab w:val="clear" w:pos="426"/>
              </w:tabs>
              <w:adjustRightInd/>
              <w:snapToGrid/>
              <w:spacing w:line="240" w:lineRule="auto"/>
            </w:pPr>
            <w:r>
              <w:rPr>
                <w:rFonts w:hint="eastAsia"/>
              </w:rPr>
              <w:t>投标保证金</w:t>
            </w:r>
          </w:p>
        </w:tc>
        <w:tc>
          <w:tcPr>
            <w:tcW w:w="6152" w:type="dxa"/>
            <w:vAlign w:val="center"/>
          </w:tcPr>
          <w:p>
            <w:pPr>
              <w:tabs>
                <w:tab w:val="clear" w:pos="426"/>
              </w:tabs>
              <w:adjustRightInd/>
              <w:snapToGrid/>
              <w:spacing w:line="240" w:lineRule="auto"/>
            </w:pPr>
            <w:r>
              <w:rPr>
                <w:rFonts w:hint="eastAsia"/>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376" w:type="dxa"/>
            <w:vAlign w:val="center"/>
          </w:tcPr>
          <w:p>
            <w:pPr>
              <w:tabs>
                <w:tab w:val="clear" w:pos="426"/>
              </w:tabs>
              <w:adjustRightInd/>
              <w:snapToGrid/>
              <w:spacing w:line="240" w:lineRule="auto"/>
            </w:pPr>
            <w:r>
              <w:rPr>
                <w:rFonts w:hint="eastAsia"/>
              </w:rPr>
              <w:t>履约担保金额</w:t>
            </w:r>
          </w:p>
        </w:tc>
        <w:tc>
          <w:tcPr>
            <w:tcW w:w="6152" w:type="dxa"/>
            <w:vAlign w:val="center"/>
          </w:tcPr>
          <w:p>
            <w:pPr>
              <w:tabs>
                <w:tab w:val="clear" w:pos="426"/>
              </w:tabs>
              <w:adjustRightInd/>
              <w:snapToGrid/>
              <w:spacing w:line="240" w:lineRule="auto"/>
            </w:pPr>
            <w:r>
              <w:rPr>
                <w:rFonts w:hint="eastAsia"/>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376" w:type="dxa"/>
            <w:vAlign w:val="center"/>
          </w:tcPr>
          <w:p>
            <w:pPr>
              <w:tabs>
                <w:tab w:val="clear" w:pos="426"/>
              </w:tabs>
              <w:adjustRightInd/>
              <w:snapToGrid/>
              <w:spacing w:line="240" w:lineRule="auto"/>
            </w:pPr>
            <w:r>
              <w:rPr>
                <w:rFonts w:hint="eastAsia"/>
              </w:rPr>
              <w:t>投标文件份数</w:t>
            </w:r>
          </w:p>
        </w:tc>
        <w:tc>
          <w:tcPr>
            <w:tcW w:w="6152" w:type="dxa"/>
            <w:vAlign w:val="center"/>
          </w:tcPr>
          <w:p>
            <w:pPr>
              <w:tabs>
                <w:tab w:val="clear" w:pos="426"/>
              </w:tabs>
              <w:adjustRightInd/>
              <w:snapToGrid/>
              <w:spacing w:line="240" w:lineRule="auto"/>
            </w:pPr>
            <w:r>
              <w:rPr>
                <w:rFonts w:hint="eastAsia"/>
              </w:rPr>
              <w:t>纸质投标文件一正、六副，开标信封一份</w:t>
            </w:r>
          </w:p>
          <w:p>
            <w:pPr>
              <w:tabs>
                <w:tab w:val="clear" w:pos="426"/>
              </w:tabs>
              <w:adjustRightInd/>
              <w:snapToGrid/>
              <w:spacing w:line="240" w:lineRule="auto"/>
              <w:rPr>
                <w:rFonts w:hint="eastAsia"/>
              </w:rPr>
            </w:pPr>
            <w:r>
              <w:rPr>
                <w:rFonts w:hint="eastAsia"/>
              </w:rPr>
              <w:t>备注：投标供应商制作标书时，若同时投标2个或3个包，要求必须对2个或3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pPr>
            <w:r>
              <w:rPr>
                <w:rFonts w:hint="eastAsia"/>
              </w:rPr>
              <w:t>投标文件电子档</w:t>
            </w:r>
          </w:p>
        </w:tc>
        <w:tc>
          <w:tcPr>
            <w:tcW w:w="6152" w:type="dxa"/>
            <w:vAlign w:val="center"/>
          </w:tcPr>
          <w:p>
            <w:pPr>
              <w:tabs>
                <w:tab w:val="clear" w:pos="426"/>
              </w:tabs>
              <w:adjustRightInd/>
              <w:snapToGrid/>
              <w:spacing w:line="240" w:lineRule="auto"/>
            </w:pPr>
            <w:r>
              <w:t>U</w:t>
            </w:r>
            <w:r>
              <w:rPr>
                <w:rFonts w:hint="eastAsia"/>
              </w:rPr>
              <w:t>盘一个（</w:t>
            </w:r>
            <w:r>
              <w:t>WORD</w:t>
            </w:r>
            <w:r>
              <w:rPr>
                <w:rFonts w:hint="eastAsia"/>
              </w:rPr>
              <w:t>及投标文件正本盖章后的彩色扫描件，</w:t>
            </w:r>
            <w:r>
              <w:t>PDF</w:t>
            </w:r>
            <w:r>
              <w:rPr>
                <w:rFonts w:hint="eastAsia"/>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pPr>
            <w:r>
              <w:rPr>
                <w:rFonts w:hint="eastAsia"/>
              </w:rPr>
              <w:t>是否为长期服务项目</w:t>
            </w:r>
          </w:p>
        </w:tc>
        <w:tc>
          <w:tcPr>
            <w:tcW w:w="6152" w:type="dxa"/>
            <w:vAlign w:val="center"/>
          </w:tcPr>
          <w:p>
            <w:pPr>
              <w:tabs>
                <w:tab w:val="clear" w:pos="426"/>
              </w:tabs>
              <w:adjustRightInd/>
              <w:snapToGrid/>
              <w:spacing w:line="240" w:lineRule="auto"/>
            </w:pPr>
            <w:r>
              <w:rPr>
                <w:rFonts w:hint="eastAsia"/>
              </w:rPr>
              <w:t>否</w:t>
            </w:r>
          </w:p>
        </w:tc>
      </w:tr>
    </w:tbl>
    <w:p>
      <w:pPr>
        <w:widowControl w:val="0"/>
        <w:shd w:val="clear" w:color="auto" w:fill="auto"/>
        <w:tabs>
          <w:tab w:val="clear" w:pos="426"/>
        </w:tabs>
        <w:adjustRightInd/>
        <w:snapToGrid/>
        <w:spacing w:line="240" w:lineRule="auto"/>
        <w:ind w:left="3040" w:hanging="3040" w:hangingChars="950"/>
        <w:rPr>
          <w:rFonts w:cs="Times New Roman"/>
          <w:kern w:val="2"/>
          <w:sz w:val="32"/>
          <w:szCs w:val="20"/>
        </w:rPr>
      </w:pPr>
    </w:p>
    <w:p>
      <w:pPr>
        <w:pStyle w:val="62"/>
        <w:widowControl w:val="0"/>
        <w:shd w:val="clear" w:color="auto" w:fill="auto"/>
        <w:tabs>
          <w:tab w:val="clear" w:pos="426"/>
        </w:tabs>
        <w:adjustRightInd/>
        <w:snapToGrid/>
        <w:ind w:firstLine="566"/>
        <w:outlineLvl w:val="0"/>
        <w:rPr>
          <w:rFonts w:ascii="宋体"/>
          <w:bCs w:val="0"/>
          <w:sz w:val="36"/>
          <w:szCs w:val="36"/>
        </w:rPr>
      </w:pPr>
      <w:r>
        <w:br w:type="page"/>
      </w:r>
      <w:bookmarkStart w:id="2" w:name="_Toc120892128"/>
      <w:r>
        <w:rPr>
          <w:rFonts w:hint="eastAsia" w:ascii="宋体"/>
          <w:bCs w:val="0"/>
          <w:sz w:val="36"/>
          <w:szCs w:val="36"/>
        </w:rPr>
        <w:t>资格、符合性评审条款</w:t>
      </w:r>
      <w:bookmarkEnd w:id="2"/>
    </w:p>
    <w:p>
      <w:pPr>
        <w:spacing w:before="120" w:beforeLines="50" w:after="120" w:afterLines="50"/>
        <w:jc w:val="center"/>
        <w:rPr>
          <w:rFonts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rPr>
            </w:pPr>
            <w:r>
              <w:rPr>
                <w:rFonts w:hint="eastAsia"/>
                <w:b/>
              </w:rPr>
              <w:t>序号</w:t>
            </w:r>
          </w:p>
        </w:tc>
        <w:tc>
          <w:tcPr>
            <w:tcW w:w="7883" w:type="dxa"/>
            <w:vAlign w:val="center"/>
          </w:tcPr>
          <w:p>
            <w:pPr>
              <w:tabs>
                <w:tab w:val="clear" w:pos="426"/>
              </w:tabs>
              <w:adjustRightInd/>
              <w:snapToGrid/>
              <w:spacing w:line="240" w:lineRule="auto"/>
              <w:jc w:val="center"/>
              <w:rPr>
                <w:b/>
              </w:rPr>
            </w:pPr>
            <w:r>
              <w:rPr>
                <w:rFonts w:hint="eastAsia"/>
                <w:b/>
              </w:rPr>
              <w:t>评</w:t>
            </w:r>
            <w:r>
              <w:rPr>
                <w:b/>
              </w:rPr>
              <w:t xml:space="preserve"> </w:t>
            </w:r>
            <w:r>
              <w:rPr>
                <w:rFonts w:hint="eastAsia"/>
                <w:b/>
              </w:rPr>
              <w:t>审</w:t>
            </w:r>
            <w:r>
              <w:rPr>
                <w:b/>
              </w:rPr>
              <w:t xml:space="preserve"> </w:t>
            </w:r>
            <w:r>
              <w:rPr>
                <w:rFonts w:hint="eastAsia"/>
                <w:b/>
              </w:rPr>
              <w:t>内</w:t>
            </w:r>
            <w:r>
              <w:rPr>
                <w:b/>
              </w:rPr>
              <w:t xml:space="preserve"> </w:t>
            </w:r>
            <w:r>
              <w:rPr>
                <w:rFonts w:hint="eastAsia"/>
                <w:b/>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rPr>
            </w:pPr>
            <w:r>
              <w:rPr>
                <w:rFonts w:hint="eastAsia"/>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pPr>
              <w:numPr>
                <w:ilvl w:val="0"/>
                <w:numId w:val="32"/>
              </w:numPr>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投标供应商不具备招标资质要求，或未提交相应资质证明材料；</w:t>
            </w:r>
            <w:r>
              <w:t>(</w:t>
            </w:r>
            <w:r>
              <w:rPr>
                <w:rFonts w:hint="eastAsia"/>
              </w:rPr>
              <w:t>详见招标公告“申请人的资格要求”，其中未列示的资格要求不得导致废标。</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pPr>
            <w:r>
              <w:rPr>
                <w:rFonts w:hint="eastAsia"/>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将一个包或一个包的内容拆开投标；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szCs w:val="21"/>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未按招标文件所提供的样式填写《投标函》；未按招标文件所提供的《政府采购投标及履约承诺函》进行承诺；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投标报价不满足</w:t>
            </w:r>
            <w:bookmarkStart w:id="3" w:name="_Hlk129266263"/>
            <w:r>
              <w:rPr>
                <w:rFonts w:hint="eastAsia"/>
              </w:rPr>
              <w:t>商务需求中“3</w:t>
            </w:r>
            <w:r>
              <w:t>.</w:t>
            </w:r>
            <w:r>
              <w:rPr>
                <w:rFonts w:hint="eastAsia"/>
              </w:rPr>
              <w:t>报价要求”</w:t>
            </w:r>
            <w:bookmarkEnd w:id="3"/>
            <w:r>
              <w:rPr>
                <w:rFonts w:hint="eastAsia"/>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szCs w:val="21"/>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投标报价有严重缺漏项目或对招标文件规定的服务清单项目及数量进行修改；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法律、法规规定的属于投标无效的其他情形。</w:t>
            </w:r>
          </w:p>
        </w:tc>
      </w:tr>
    </w:tbl>
    <w:p>
      <w:pPr>
        <w:pStyle w:val="62"/>
        <w:widowControl w:val="0"/>
        <w:shd w:val="clear" w:color="auto" w:fill="auto"/>
        <w:tabs>
          <w:tab w:val="clear" w:pos="426"/>
        </w:tabs>
        <w:adjustRightInd/>
        <w:snapToGrid/>
        <w:ind w:firstLine="424"/>
        <w:jc w:val="both"/>
        <w:outlineLvl w:val="9"/>
        <w:rPr>
          <w:sz w:val="21"/>
          <w:szCs w:val="21"/>
        </w:rPr>
      </w:pPr>
    </w:p>
    <w:p>
      <w:pPr>
        <w:pStyle w:val="62"/>
        <w:widowControl w:val="0"/>
        <w:shd w:val="clear" w:color="auto" w:fill="auto"/>
        <w:tabs>
          <w:tab w:val="clear" w:pos="426"/>
        </w:tabs>
        <w:adjustRightInd/>
        <w:snapToGrid/>
        <w:ind w:firstLine="485"/>
        <w:outlineLvl w:val="0"/>
        <w:rPr>
          <w:rFonts w:ascii="宋体"/>
          <w:bCs w:val="0"/>
          <w:sz w:val="36"/>
          <w:szCs w:val="36"/>
        </w:rPr>
      </w:pPr>
      <w:r>
        <w:rPr>
          <w:sz w:val="24"/>
        </w:rPr>
        <w:br w:type="page"/>
      </w:r>
      <w:bookmarkStart w:id="4" w:name="_Toc120892129"/>
      <w:bookmarkStart w:id="5" w:name="_Toc435514846"/>
      <w:r>
        <w:rPr>
          <w:rFonts w:hint="eastAsia" w:ascii="宋体"/>
          <w:bCs w:val="0"/>
          <w:sz w:val="36"/>
          <w:szCs w:val="36"/>
        </w:rPr>
        <w:t>评标信息</w:t>
      </w:r>
      <w:bookmarkEnd w:id="4"/>
    </w:p>
    <w:bookmarkEnd w:id="5"/>
    <w:p>
      <w:pPr>
        <w:widowControl w:val="0"/>
        <w:shd w:val="clear" w:color="auto" w:fill="auto"/>
        <w:tabs>
          <w:tab w:val="clear" w:pos="426"/>
        </w:tabs>
        <w:adjustRightInd/>
        <w:snapToGrid/>
        <w:spacing w:line="300" w:lineRule="auto"/>
        <w:ind w:firstLine="422" w:firstLineChars="200"/>
        <w:rPr>
          <w:b/>
          <w:szCs w:val="21"/>
        </w:rPr>
      </w:pPr>
      <w:r>
        <w:rPr>
          <w:rFonts w:hint="eastAsia"/>
          <w:b/>
          <w:szCs w:val="21"/>
        </w:rPr>
        <w:t>本招标文件所述评标方法和定标方法与招标文件《通用条款》所述不一致之处，以以下方法为准。</w:t>
      </w:r>
    </w:p>
    <w:p>
      <w:pPr>
        <w:widowControl w:val="0"/>
        <w:shd w:val="clear" w:color="auto" w:fill="auto"/>
        <w:tabs>
          <w:tab w:val="clear" w:pos="426"/>
        </w:tabs>
        <w:adjustRightInd/>
        <w:snapToGrid/>
        <w:spacing w:line="300" w:lineRule="auto"/>
        <w:ind w:firstLine="422" w:firstLineChars="200"/>
        <w:rPr>
          <w:b/>
          <w:szCs w:val="21"/>
        </w:rPr>
      </w:pPr>
      <w:r>
        <w:rPr>
          <w:rFonts w:hint="eastAsia"/>
          <w:b/>
          <w:szCs w:val="21"/>
        </w:rPr>
        <w:t>1</w:t>
      </w:r>
      <w:r>
        <w:rPr>
          <w:b/>
          <w:szCs w:val="21"/>
        </w:rPr>
        <w:t>.</w:t>
      </w:r>
      <w:r>
        <w:rPr>
          <w:rFonts w:hint="eastAsia"/>
          <w:b/>
          <w:szCs w:val="21"/>
        </w:rPr>
        <w:t>本项目评标方法为：综合评分法</w:t>
      </w:r>
    </w:p>
    <w:p>
      <w:pPr>
        <w:tabs>
          <w:tab w:val="clear" w:pos="426"/>
        </w:tabs>
        <w:ind w:firstLine="422" w:firstLineChars="200"/>
        <w:rPr>
          <w:rFonts w:hAnsi="宋体"/>
          <w:b/>
          <w:szCs w:val="21"/>
        </w:rPr>
      </w:pPr>
      <w:bookmarkStart w:id="6" w:name="_Hlk129270168"/>
      <w:r>
        <w:rPr>
          <w:rFonts w:hint="eastAsia" w:hAnsi="宋体"/>
          <w:b/>
          <w:szCs w:val="21"/>
        </w:rPr>
        <w:t>（</w:t>
      </w:r>
      <w:r>
        <w:rPr>
          <w:rFonts w:hAnsi="宋体"/>
          <w:b/>
          <w:szCs w:val="21"/>
        </w:rPr>
        <w:t>1</w:t>
      </w:r>
      <w:r>
        <w:rPr>
          <w:rFonts w:hint="eastAsia" w:hAnsi="宋体"/>
          <w:b/>
          <w:szCs w:val="21"/>
        </w:rPr>
        <w:t>）本项目共</w:t>
      </w:r>
      <w:r>
        <w:rPr>
          <w:rFonts w:hAnsi="宋体"/>
          <w:b/>
          <w:szCs w:val="21"/>
        </w:rPr>
        <w:t>3个包</w:t>
      </w:r>
      <w:r>
        <w:rPr>
          <w:rFonts w:hint="eastAsia" w:hAnsi="宋体"/>
          <w:b/>
          <w:szCs w:val="21"/>
        </w:rPr>
        <w:t>，包划分详见招标文件第三章项目需求-一、服务清单。</w:t>
      </w:r>
    </w:p>
    <w:p>
      <w:pPr>
        <w:tabs>
          <w:tab w:val="clear" w:pos="426"/>
        </w:tabs>
        <w:ind w:firstLine="422" w:firstLineChars="200"/>
        <w:rPr>
          <w:rFonts w:hAnsi="宋体"/>
          <w:b/>
          <w:szCs w:val="21"/>
        </w:rPr>
      </w:pPr>
      <w:r>
        <w:rPr>
          <w:rFonts w:hint="eastAsia" w:hAnsi="宋体"/>
          <w:b/>
          <w:szCs w:val="21"/>
        </w:rPr>
        <w:t>（</w:t>
      </w:r>
      <w:r>
        <w:rPr>
          <w:rFonts w:hAnsi="宋体"/>
          <w:b/>
          <w:szCs w:val="21"/>
        </w:rPr>
        <w:t>2</w:t>
      </w:r>
      <w:r>
        <w:rPr>
          <w:rFonts w:hint="eastAsia" w:hAnsi="宋体"/>
          <w:b/>
          <w:szCs w:val="21"/>
        </w:rPr>
        <w:t>）本项目</w:t>
      </w:r>
      <w:r>
        <w:rPr>
          <w:rFonts w:hAnsi="宋体"/>
          <w:b/>
          <w:szCs w:val="21"/>
        </w:rPr>
        <w:t>通过公开招标确定3家中标供应商</w:t>
      </w:r>
      <w:r>
        <w:rPr>
          <w:rFonts w:hint="eastAsia" w:hAnsi="宋体"/>
          <w:b/>
          <w:szCs w:val="21"/>
        </w:rPr>
        <w:t>，</w:t>
      </w:r>
      <w:r>
        <w:rPr>
          <w:rFonts w:hAnsi="宋体"/>
          <w:b/>
          <w:szCs w:val="21"/>
        </w:rPr>
        <w:t>投标</w:t>
      </w:r>
      <w:r>
        <w:rPr>
          <w:rFonts w:hint="eastAsia" w:hAnsi="宋体"/>
          <w:b/>
          <w:szCs w:val="21"/>
        </w:rPr>
        <w:t>供应商</w:t>
      </w:r>
      <w:r>
        <w:rPr>
          <w:rFonts w:hAnsi="宋体"/>
          <w:b/>
          <w:szCs w:val="21"/>
        </w:rPr>
        <w:t>可选择1个</w:t>
      </w:r>
      <w:r>
        <w:rPr>
          <w:rFonts w:hint="eastAsia" w:hAnsi="宋体"/>
          <w:b/>
          <w:szCs w:val="21"/>
        </w:rPr>
        <w:t>包</w:t>
      </w:r>
      <w:r>
        <w:rPr>
          <w:rFonts w:hAnsi="宋体"/>
          <w:b/>
          <w:szCs w:val="21"/>
        </w:rPr>
        <w:t>或2个</w:t>
      </w:r>
      <w:r>
        <w:rPr>
          <w:rFonts w:hint="eastAsia" w:hAnsi="宋体"/>
          <w:b/>
          <w:szCs w:val="21"/>
        </w:rPr>
        <w:t>包</w:t>
      </w:r>
      <w:r>
        <w:rPr>
          <w:rFonts w:hAnsi="宋体"/>
          <w:b/>
          <w:szCs w:val="21"/>
        </w:rPr>
        <w:t>或3个</w:t>
      </w:r>
      <w:r>
        <w:rPr>
          <w:rFonts w:hint="eastAsia" w:hAnsi="宋体"/>
          <w:b/>
          <w:szCs w:val="21"/>
        </w:rPr>
        <w:t>包</w:t>
      </w:r>
      <w:r>
        <w:rPr>
          <w:rFonts w:hAnsi="宋体"/>
          <w:b/>
          <w:szCs w:val="21"/>
        </w:rPr>
        <w:t>进行投标</w:t>
      </w:r>
      <w:r>
        <w:rPr>
          <w:rFonts w:hint="eastAsia" w:hAnsi="宋体"/>
          <w:b/>
          <w:szCs w:val="21"/>
        </w:rPr>
        <w:t>响应。</w:t>
      </w:r>
    </w:p>
    <w:p>
      <w:pPr>
        <w:tabs>
          <w:tab w:val="clear" w:pos="426"/>
        </w:tabs>
        <w:ind w:firstLine="422" w:firstLineChars="200"/>
        <w:rPr>
          <w:rFonts w:hAnsi="宋体"/>
          <w:b/>
          <w:szCs w:val="21"/>
        </w:rPr>
      </w:pPr>
      <w:r>
        <w:rPr>
          <w:rFonts w:hint="eastAsia" w:hAnsi="宋体"/>
          <w:b/>
          <w:szCs w:val="21"/>
        </w:rPr>
        <w:t>（</w:t>
      </w:r>
      <w:r>
        <w:rPr>
          <w:rFonts w:hAnsi="宋体"/>
          <w:b/>
          <w:szCs w:val="21"/>
        </w:rPr>
        <w:t>3</w:t>
      </w:r>
      <w:r>
        <w:rPr>
          <w:rFonts w:hint="eastAsia" w:hAnsi="宋体"/>
          <w:b/>
          <w:szCs w:val="21"/>
        </w:rPr>
        <w:t>）评标委员会依次评审</w:t>
      </w:r>
      <w:r>
        <w:rPr>
          <w:rFonts w:hAnsi="宋体"/>
          <w:b/>
          <w:szCs w:val="21"/>
        </w:rPr>
        <w:t>A</w:t>
      </w:r>
      <w:r>
        <w:rPr>
          <w:rFonts w:hint="eastAsia" w:hAnsi="宋体"/>
          <w:b/>
          <w:szCs w:val="21"/>
        </w:rPr>
        <w:t>包、</w:t>
      </w:r>
      <w:r>
        <w:rPr>
          <w:rFonts w:hAnsi="宋体"/>
          <w:b/>
          <w:szCs w:val="21"/>
        </w:rPr>
        <w:t>B</w:t>
      </w:r>
      <w:r>
        <w:rPr>
          <w:rFonts w:hint="eastAsia" w:hAnsi="宋体"/>
          <w:b/>
          <w:szCs w:val="21"/>
        </w:rPr>
        <w:t>包、C包。</w:t>
      </w:r>
    </w:p>
    <w:p>
      <w:pPr>
        <w:tabs>
          <w:tab w:val="clear" w:pos="426"/>
        </w:tabs>
        <w:ind w:firstLine="422" w:firstLineChars="200"/>
        <w:rPr>
          <w:rFonts w:hAnsi="宋体"/>
          <w:szCs w:val="21"/>
        </w:rPr>
      </w:pPr>
      <w:r>
        <w:rPr>
          <w:rFonts w:hint="eastAsia" w:hAnsi="宋体"/>
          <w:b/>
          <w:szCs w:val="21"/>
        </w:rPr>
        <w:t>（</w:t>
      </w:r>
      <w:r>
        <w:rPr>
          <w:rFonts w:hAnsi="宋体"/>
          <w:b/>
          <w:szCs w:val="21"/>
        </w:rPr>
        <w:t>4</w:t>
      </w:r>
      <w:r>
        <w:rPr>
          <w:rFonts w:hint="eastAsia" w:hAnsi="宋体"/>
          <w:b/>
          <w:szCs w:val="21"/>
        </w:rPr>
        <w:t>）每个包由评标委员会推荐评标总得分前三名的投标供应商作为候选中标供应商，每个包评标总得分第一名的投标供应商作为对应包的中标供应商</w:t>
      </w:r>
      <w:r>
        <w:rPr>
          <w:rFonts w:hint="eastAsia" w:hAnsi="宋体"/>
          <w:b/>
          <w:bCs/>
          <w:szCs w:val="21"/>
        </w:rPr>
        <w:t>，</w:t>
      </w:r>
      <w:r>
        <w:rPr>
          <w:rFonts w:hAnsi="宋体"/>
          <w:b/>
          <w:szCs w:val="21"/>
        </w:rPr>
        <w:t>但A</w:t>
      </w:r>
      <w:r>
        <w:rPr>
          <w:rFonts w:hint="eastAsia" w:hAnsi="宋体"/>
          <w:b/>
          <w:szCs w:val="21"/>
        </w:rPr>
        <w:t>包</w:t>
      </w:r>
      <w:r>
        <w:rPr>
          <w:rFonts w:hAnsi="宋体"/>
          <w:b/>
          <w:szCs w:val="21"/>
        </w:rPr>
        <w:t>排名第一的中标</w:t>
      </w:r>
      <w:r>
        <w:rPr>
          <w:rFonts w:hint="eastAsia" w:hAnsi="宋体"/>
          <w:b/>
          <w:szCs w:val="21"/>
        </w:rPr>
        <w:t>供应商</w:t>
      </w:r>
      <w:r>
        <w:rPr>
          <w:rFonts w:hAnsi="宋体"/>
          <w:b/>
          <w:szCs w:val="21"/>
        </w:rPr>
        <w:t>不能作为B</w:t>
      </w:r>
      <w:r>
        <w:rPr>
          <w:rFonts w:hint="eastAsia" w:hAnsi="宋体"/>
          <w:b/>
          <w:szCs w:val="21"/>
        </w:rPr>
        <w:t>包</w:t>
      </w:r>
      <w:r>
        <w:rPr>
          <w:rFonts w:hAnsi="宋体"/>
          <w:b/>
          <w:szCs w:val="21"/>
        </w:rPr>
        <w:t>的中标</w:t>
      </w:r>
      <w:r>
        <w:rPr>
          <w:rFonts w:hint="eastAsia" w:hAnsi="宋体"/>
          <w:b/>
          <w:szCs w:val="21"/>
        </w:rPr>
        <w:t>供应商,</w:t>
      </w:r>
      <w:r>
        <w:rPr>
          <w:rFonts w:hAnsi="宋体"/>
          <w:b/>
          <w:szCs w:val="21"/>
        </w:rPr>
        <w:t>B</w:t>
      </w:r>
      <w:r>
        <w:rPr>
          <w:rFonts w:hint="eastAsia" w:hAnsi="宋体"/>
          <w:b/>
          <w:szCs w:val="21"/>
        </w:rPr>
        <w:t>包</w:t>
      </w:r>
      <w:r>
        <w:rPr>
          <w:rFonts w:hAnsi="宋体"/>
          <w:b/>
          <w:szCs w:val="21"/>
        </w:rPr>
        <w:t>排名第一的中标</w:t>
      </w:r>
      <w:r>
        <w:rPr>
          <w:rFonts w:hint="eastAsia" w:hAnsi="宋体"/>
          <w:b/>
          <w:szCs w:val="21"/>
        </w:rPr>
        <w:t>供应商</w:t>
      </w:r>
      <w:r>
        <w:rPr>
          <w:rFonts w:hAnsi="宋体"/>
          <w:b/>
          <w:szCs w:val="21"/>
        </w:rPr>
        <w:t>不能作为</w:t>
      </w:r>
      <w:r>
        <w:rPr>
          <w:rFonts w:hint="eastAsia" w:hAnsi="宋体"/>
          <w:b/>
          <w:szCs w:val="21"/>
        </w:rPr>
        <w:t>C包</w:t>
      </w:r>
      <w:r>
        <w:rPr>
          <w:rFonts w:hAnsi="宋体"/>
          <w:b/>
          <w:szCs w:val="21"/>
        </w:rPr>
        <w:t>的中标</w:t>
      </w:r>
      <w:r>
        <w:rPr>
          <w:rFonts w:hint="eastAsia" w:hAnsi="宋体"/>
          <w:b/>
          <w:szCs w:val="21"/>
        </w:rPr>
        <w:t>供应商</w:t>
      </w:r>
      <w:r>
        <w:rPr>
          <w:rFonts w:hAnsi="宋体"/>
          <w:b/>
          <w:szCs w:val="21"/>
        </w:rPr>
        <w:t>（兼投不兼中原则）。</w:t>
      </w:r>
    </w:p>
    <w:bookmarkEnd w:id="6"/>
    <w:p>
      <w:pPr>
        <w:tabs>
          <w:tab w:val="clear" w:pos="426"/>
        </w:tabs>
        <w:ind w:firstLine="420" w:firstLineChars="200"/>
        <w:rPr>
          <w:rFonts w:hAnsi="宋体"/>
          <w:szCs w:val="21"/>
        </w:rPr>
      </w:pPr>
      <w:r>
        <w:rPr>
          <w:rFonts w:hint="eastAsia" w:hAnsi="宋体"/>
          <w:szCs w:val="21"/>
        </w:rPr>
        <w:t>（</w:t>
      </w:r>
      <w:r>
        <w:rPr>
          <w:rFonts w:hAnsi="宋体"/>
          <w:szCs w:val="21"/>
        </w:rPr>
        <w:t>5）</w:t>
      </w:r>
      <w:r>
        <w:rPr>
          <w:rFonts w:hint="eastAsia" w:hAnsi="宋体"/>
          <w:szCs w:val="21"/>
        </w:rPr>
        <w:t>根据公开招标竞争性原则，当某个包合格投标供应商数量小于</w:t>
      </w:r>
      <w:r>
        <w:rPr>
          <w:rFonts w:hAnsi="宋体"/>
          <w:szCs w:val="21"/>
        </w:rPr>
        <w:t>3名</w:t>
      </w:r>
      <w:r>
        <w:rPr>
          <w:rFonts w:hint="eastAsia" w:hAnsi="宋体"/>
          <w:szCs w:val="21"/>
        </w:rPr>
        <w:t>时</w:t>
      </w:r>
      <w:r>
        <w:rPr>
          <w:rFonts w:hAnsi="宋体"/>
          <w:szCs w:val="21"/>
        </w:rPr>
        <w:t>，</w:t>
      </w:r>
      <w:r>
        <w:rPr>
          <w:rFonts w:hint="eastAsia" w:hAnsi="宋体"/>
          <w:szCs w:val="21"/>
        </w:rPr>
        <w:t>该包废标，但不影响其他包；当三个包合格投标供应商数量均小于</w:t>
      </w:r>
      <w:r>
        <w:rPr>
          <w:rFonts w:hAnsi="宋体"/>
          <w:szCs w:val="21"/>
        </w:rPr>
        <w:t>3名</w:t>
      </w:r>
      <w:r>
        <w:rPr>
          <w:rFonts w:hint="eastAsia" w:hAnsi="宋体"/>
          <w:szCs w:val="21"/>
        </w:rPr>
        <w:t>时，本项目废标</w:t>
      </w:r>
      <w:r>
        <w:rPr>
          <w:rFonts w:hAnsi="宋体"/>
          <w:szCs w:val="21"/>
        </w:rPr>
        <w:t>，</w:t>
      </w:r>
      <w:r>
        <w:rPr>
          <w:rFonts w:hint="eastAsia" w:hAnsi="宋体"/>
          <w:szCs w:val="21"/>
        </w:rPr>
        <w:t>采购代理</w:t>
      </w:r>
      <w:r>
        <w:rPr>
          <w:rFonts w:hAnsi="宋体"/>
          <w:szCs w:val="21"/>
        </w:rPr>
        <w:t>机构重新组织采购。</w:t>
      </w:r>
    </w:p>
    <w:p>
      <w:pPr>
        <w:tabs>
          <w:tab w:val="clear" w:pos="426"/>
        </w:tabs>
        <w:ind w:firstLine="420" w:firstLineChars="200"/>
        <w:rPr>
          <w:rFonts w:hAnsi="宋体"/>
          <w:szCs w:val="21"/>
        </w:rPr>
      </w:pPr>
      <w:r>
        <w:rPr>
          <w:rFonts w:hint="eastAsia" w:hAnsi="宋体"/>
          <w:szCs w:val="21"/>
        </w:rPr>
        <w:t>（</w:t>
      </w:r>
      <w:r>
        <w:rPr>
          <w:rFonts w:hAnsi="宋体"/>
          <w:szCs w:val="21"/>
        </w:rPr>
        <w:t>6</w:t>
      </w:r>
      <w:r>
        <w:rPr>
          <w:rFonts w:hint="eastAsia" w:hAnsi="宋体"/>
          <w:szCs w:val="21"/>
        </w:rPr>
        <w:t>）当某包合格投标供应商数量大于等于</w:t>
      </w:r>
      <w:r>
        <w:rPr>
          <w:rFonts w:hAnsi="宋体"/>
          <w:szCs w:val="21"/>
        </w:rPr>
        <w:t>3名时，</w:t>
      </w:r>
      <w:r>
        <w:rPr>
          <w:rFonts w:hint="eastAsia" w:hAnsi="宋体"/>
          <w:szCs w:val="21"/>
        </w:rPr>
        <w:t>评标委员会</w:t>
      </w:r>
      <w:r>
        <w:rPr>
          <w:rFonts w:hAnsi="宋体"/>
          <w:szCs w:val="21"/>
        </w:rPr>
        <w:t>依据</w:t>
      </w:r>
      <w:r>
        <w:rPr>
          <w:rFonts w:hint="eastAsia" w:hAnsi="宋体"/>
          <w:szCs w:val="21"/>
        </w:rPr>
        <w:t>本次评标所采用的综合评分法，按照招标文件中规定的各项因素进行量化打分，每个投标单位的总得分取算术平均值确定其评标总得分。</w:t>
      </w:r>
    </w:p>
    <w:p>
      <w:pPr>
        <w:tabs>
          <w:tab w:val="clear" w:pos="426"/>
        </w:tabs>
        <w:ind w:firstLine="420" w:firstLineChars="200"/>
        <w:rPr>
          <w:rFonts w:hAnsi="宋体"/>
          <w:szCs w:val="21"/>
        </w:rPr>
      </w:pPr>
      <w:r>
        <w:rPr>
          <w:rFonts w:hint="eastAsia" w:hAnsi="宋体"/>
          <w:szCs w:val="21"/>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ind w:firstLine="420" w:firstLineChars="200"/>
        <w:rPr>
          <w:rFonts w:hAnsi="宋体"/>
          <w:szCs w:val="21"/>
        </w:rPr>
      </w:pPr>
      <w:r>
        <w:rPr>
          <w:rFonts w:hint="eastAsia" w:hAnsi="宋体"/>
          <w:szCs w:val="21"/>
        </w:rPr>
        <w:t>评标委员会对每个通过资格性检查和符合性检查且报价不超过预算控制金额的投标供应商进行评审、打分，然后汇总每个投标供应商每项评分因素的评分。</w:t>
      </w:r>
    </w:p>
    <w:p>
      <w:pPr>
        <w:widowControl w:val="0"/>
        <w:shd w:val="clear" w:color="auto" w:fill="auto"/>
        <w:tabs>
          <w:tab w:val="clear" w:pos="426"/>
        </w:tabs>
        <w:adjustRightInd/>
        <w:snapToGrid/>
        <w:ind w:left="422"/>
        <w:rPr>
          <w:rFonts w:hAnsi="宋体"/>
          <w:b/>
          <w:szCs w:val="21"/>
        </w:rPr>
      </w:pPr>
      <w:r>
        <w:rPr>
          <w:rFonts w:hAnsi="宋体"/>
          <w:b/>
          <w:szCs w:val="21"/>
        </w:rPr>
        <w:t>2.投标</w:t>
      </w:r>
      <w:r>
        <w:rPr>
          <w:rFonts w:hint="eastAsia" w:hAnsi="宋体"/>
          <w:b/>
          <w:szCs w:val="21"/>
        </w:rPr>
        <w:t>文件制作要求</w:t>
      </w:r>
    </w:p>
    <w:p>
      <w:pPr>
        <w:tabs>
          <w:tab w:val="clear" w:pos="426"/>
        </w:tabs>
        <w:ind w:firstLine="422" w:firstLineChars="200"/>
        <w:rPr>
          <w:rFonts w:hAnsi="宋体"/>
          <w:b/>
          <w:szCs w:val="21"/>
        </w:rPr>
      </w:pPr>
      <w:r>
        <w:rPr>
          <w:rFonts w:hint="eastAsia" w:hAnsi="宋体"/>
          <w:b/>
          <w:szCs w:val="21"/>
        </w:rPr>
        <w:t>投标供应商制作标书时，若同时投标2个或</w:t>
      </w:r>
      <w:r>
        <w:rPr>
          <w:rFonts w:hAnsi="宋体"/>
          <w:b/>
          <w:szCs w:val="21"/>
        </w:rPr>
        <w:t>3</w:t>
      </w:r>
      <w:r>
        <w:rPr>
          <w:rFonts w:hint="eastAsia" w:hAnsi="宋体"/>
          <w:b/>
          <w:szCs w:val="21"/>
        </w:rPr>
        <w:t>个包，要求必须对2个或</w:t>
      </w:r>
      <w:r>
        <w:rPr>
          <w:rFonts w:hAnsi="宋体"/>
          <w:b/>
          <w:szCs w:val="21"/>
        </w:rPr>
        <w:t>3</w:t>
      </w:r>
      <w:r>
        <w:rPr>
          <w:rFonts w:hint="eastAsia" w:hAnsi="宋体"/>
          <w:b/>
          <w:szCs w:val="21"/>
        </w:rPr>
        <w:t>个包分别响应。每个包的投标文件以包为单位分开制作，按照本招标文件中的投标文件格式进行密封装订，并请注意填写封面投标包的相关信息。若只投标</w:t>
      </w:r>
      <w:r>
        <w:rPr>
          <w:rFonts w:hAnsi="宋体"/>
          <w:b/>
          <w:szCs w:val="21"/>
        </w:rPr>
        <w:t>1</w:t>
      </w:r>
      <w:r>
        <w:rPr>
          <w:rFonts w:hint="eastAsia" w:hAnsi="宋体"/>
          <w:b/>
          <w:szCs w:val="21"/>
        </w:rPr>
        <w:t>个包，按照本招标文件中的投标文件格式进行密封装订，并请注意填写封面投标包的相关信息。</w:t>
      </w:r>
    </w:p>
    <w:p>
      <w:pPr>
        <w:widowControl w:val="0"/>
        <w:shd w:val="clear" w:color="auto" w:fill="auto"/>
        <w:tabs>
          <w:tab w:val="clear" w:pos="426"/>
        </w:tabs>
        <w:adjustRightInd/>
        <w:snapToGrid/>
        <w:ind w:left="422"/>
        <w:rPr>
          <w:rFonts w:hAnsi="宋体"/>
          <w:szCs w:val="21"/>
        </w:rPr>
      </w:pPr>
      <w:r>
        <w:rPr>
          <w:rFonts w:hAnsi="宋体"/>
          <w:szCs w:val="21"/>
        </w:rPr>
        <w:t>3.报价要求</w:t>
      </w:r>
    </w:p>
    <w:p>
      <w:pPr>
        <w:tabs>
          <w:tab w:val="clear" w:pos="426"/>
        </w:tabs>
        <w:ind w:firstLine="420" w:firstLineChars="200"/>
        <w:rPr>
          <w:rFonts w:hAnsi="宋体"/>
          <w:szCs w:val="21"/>
        </w:rPr>
      </w:pPr>
      <w:r>
        <w:rPr>
          <w:rFonts w:hint="eastAsia" w:hAnsi="宋体"/>
          <w:szCs w:val="21"/>
        </w:rPr>
        <w:t>（</w:t>
      </w:r>
      <w:r>
        <w:rPr>
          <w:rFonts w:hAnsi="宋体"/>
          <w:szCs w:val="21"/>
        </w:rPr>
        <w:t>1）</w:t>
      </w:r>
      <w:r>
        <w:rPr>
          <w:rFonts w:hint="eastAsia" w:hAnsi="宋体"/>
          <w:szCs w:val="21"/>
        </w:rPr>
        <w:t>本</w:t>
      </w:r>
      <w:r>
        <w:rPr>
          <w:rFonts w:hAnsi="宋体"/>
          <w:szCs w:val="21"/>
        </w:rPr>
        <w:t>项目</w:t>
      </w:r>
      <w:r>
        <w:rPr>
          <w:rFonts w:hint="eastAsia" w:hAnsi="宋体"/>
          <w:szCs w:val="21"/>
        </w:rPr>
        <w:t>各包分项预算金额详见招标文件第三章项目需求-一、服务清单，报价要求详见招标文件第三章项目需求</w:t>
      </w:r>
      <w:r>
        <w:rPr>
          <w:rFonts w:hAnsi="宋体"/>
          <w:szCs w:val="21"/>
        </w:rPr>
        <w:t>-</w:t>
      </w:r>
      <w:r>
        <w:rPr>
          <w:rFonts w:hint="eastAsia" w:hAnsi="宋体"/>
          <w:szCs w:val="21"/>
        </w:rPr>
        <w:t>四、商务需求-3</w:t>
      </w:r>
      <w:r>
        <w:rPr>
          <w:rFonts w:hAnsi="宋体"/>
          <w:szCs w:val="21"/>
        </w:rPr>
        <w:t>.</w:t>
      </w:r>
      <w:r>
        <w:rPr>
          <w:rFonts w:hint="eastAsia" w:hAnsi="宋体"/>
          <w:szCs w:val="21"/>
        </w:rPr>
        <w:t>报价要求</w:t>
      </w:r>
      <w:r>
        <w:rPr>
          <w:rFonts w:hAnsi="宋体"/>
          <w:szCs w:val="21"/>
        </w:rPr>
        <w:t>。</w:t>
      </w:r>
    </w:p>
    <w:p>
      <w:pPr>
        <w:tabs>
          <w:tab w:val="clear" w:pos="426"/>
        </w:tabs>
        <w:ind w:firstLine="420" w:firstLineChars="200"/>
        <w:rPr>
          <w:rFonts w:hAnsi="宋体"/>
          <w:szCs w:val="21"/>
        </w:rPr>
      </w:pPr>
      <w:r>
        <w:rPr>
          <w:rFonts w:hint="eastAsia" w:hAnsi="宋体"/>
          <w:szCs w:val="21"/>
        </w:rPr>
        <w:t>（</w:t>
      </w:r>
      <w:r>
        <w:rPr>
          <w:rFonts w:hAnsi="宋体"/>
          <w:szCs w:val="21"/>
        </w:rPr>
        <w:t>2</w:t>
      </w:r>
      <w:r>
        <w:rPr>
          <w:rFonts w:hint="eastAsia" w:hAnsi="宋体"/>
          <w:szCs w:val="21"/>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若评审委员会成员对是否须由投标供应商作出报价合理性说明，以及书面说明是否采纳等判断不一致的，按照“少数服从多数”的原则确定评审委员会的意见）。</w:t>
      </w:r>
    </w:p>
    <w:p>
      <w:pPr>
        <w:tabs>
          <w:tab w:val="clear" w:pos="426"/>
        </w:tabs>
        <w:spacing w:line="300" w:lineRule="auto"/>
        <w:ind w:firstLine="420" w:firstLineChars="200"/>
        <w:rPr>
          <w:rFonts w:hAnsi="宋体"/>
          <w:szCs w:val="21"/>
        </w:rPr>
      </w:pPr>
      <w:r>
        <w:rPr>
          <w:rFonts w:hAnsi="宋体"/>
          <w:szCs w:val="21"/>
        </w:rPr>
        <w:t>4.价格分计算方法：</w:t>
      </w:r>
    </w:p>
    <w:p>
      <w:pPr>
        <w:tabs>
          <w:tab w:val="clear" w:pos="426"/>
        </w:tabs>
        <w:spacing w:line="300" w:lineRule="auto"/>
        <w:ind w:firstLine="420" w:firstLineChars="200"/>
        <w:rPr>
          <w:rFonts w:hAnsi="宋体"/>
          <w:szCs w:val="21"/>
        </w:rPr>
      </w:pPr>
      <w:r>
        <w:rPr>
          <w:rFonts w:hAnsi="宋体"/>
          <w:szCs w:val="21"/>
        </w:rPr>
        <w:t>满足招标文件要求且投标价格最低的投标报价为评标基准价，其价格分为满分。其他投标供应商的价格分统一按照下列公式计算：</w:t>
      </w:r>
    </w:p>
    <w:p>
      <w:pPr>
        <w:tabs>
          <w:tab w:val="clear" w:pos="426"/>
        </w:tabs>
        <w:spacing w:line="300" w:lineRule="auto"/>
        <w:ind w:firstLine="420" w:firstLineChars="200"/>
        <w:rPr>
          <w:rFonts w:hAnsi="宋体"/>
          <w:szCs w:val="21"/>
        </w:rPr>
      </w:pPr>
      <w:r>
        <w:rPr>
          <w:rFonts w:hAnsi="宋体"/>
          <w:szCs w:val="21"/>
        </w:rPr>
        <w:t>投标报价得分=(评标基准价／投标报价)×10</w:t>
      </w:r>
    </w:p>
    <w:p>
      <w:pPr>
        <w:tabs>
          <w:tab w:val="clear" w:pos="426"/>
        </w:tabs>
        <w:spacing w:line="300" w:lineRule="auto"/>
        <w:ind w:firstLine="420" w:firstLineChars="200"/>
        <w:rPr>
          <w:rFonts w:hAnsi="宋体"/>
          <w:szCs w:val="21"/>
        </w:rPr>
      </w:pPr>
      <w:r>
        <w:rPr>
          <w:rFonts w:hAnsi="宋体"/>
          <w:szCs w:val="21"/>
        </w:rPr>
        <w:t>5.</w:t>
      </w:r>
      <w:r>
        <w:rPr>
          <w:rFonts w:hint="eastAsia" w:hAnsi="宋体"/>
          <w:szCs w:val="21"/>
        </w:rPr>
        <w:t>评标优惠政策</w:t>
      </w:r>
    </w:p>
    <w:p>
      <w:pPr>
        <w:tabs>
          <w:tab w:val="clear" w:pos="426"/>
        </w:tabs>
        <w:spacing w:line="300" w:lineRule="auto"/>
        <w:ind w:firstLine="420" w:firstLineChars="200"/>
        <w:rPr>
          <w:rFonts w:hint="eastAsia" w:hAnsi="宋体"/>
          <w:szCs w:val="21"/>
          <w:lang w:eastAsia="zh-CN"/>
        </w:rPr>
      </w:pPr>
      <w:r>
        <w:rPr>
          <w:rFonts w:hint="eastAsia" w:hAnsi="宋体"/>
          <w:szCs w:val="21"/>
        </w:rPr>
        <w:t>采购标的对应的中小企业划分标准所属行业</w:t>
      </w:r>
      <w:r>
        <w:rPr>
          <w:rFonts w:hint="eastAsia" w:hAnsi="宋体"/>
          <w:szCs w:val="21"/>
          <w:lang w:eastAsia="zh-CN"/>
        </w:rPr>
        <w:t>：</w:t>
      </w:r>
      <w:r>
        <w:rPr>
          <w:rFonts w:hint="eastAsia" w:hAnsi="宋体"/>
          <w:b/>
          <w:bCs/>
          <w:szCs w:val="21"/>
        </w:rPr>
        <w:t>批发业</w:t>
      </w:r>
      <w:r>
        <w:rPr>
          <w:rFonts w:hint="eastAsia" w:hAnsi="宋体"/>
          <w:szCs w:val="21"/>
          <w:lang w:eastAsia="zh-CN"/>
        </w:rPr>
        <w:t>。</w:t>
      </w:r>
    </w:p>
    <w:p>
      <w:pPr>
        <w:tabs>
          <w:tab w:val="clear" w:pos="426"/>
        </w:tabs>
        <w:spacing w:line="300" w:lineRule="auto"/>
        <w:ind w:firstLine="420" w:firstLineChars="200"/>
        <w:rPr>
          <w:rFonts w:hAnsi="宋体"/>
          <w:szCs w:val="21"/>
        </w:rPr>
      </w:pPr>
      <w:r>
        <w:rPr>
          <w:rFonts w:hAnsi="宋体"/>
          <w:szCs w:val="21"/>
        </w:rPr>
        <w:t>根据</w:t>
      </w:r>
      <w:r>
        <w:rPr>
          <w:rFonts w:hint="eastAsia" w:hAnsi="宋体"/>
          <w:szCs w:val="21"/>
        </w:rPr>
        <w:t>《关于印发〈政府采购促进中小企业发展管理办法〉的通知》（财库〔</w:t>
      </w:r>
      <w:r>
        <w:rPr>
          <w:rFonts w:hAnsi="宋体"/>
          <w:szCs w:val="21"/>
        </w:rPr>
        <w:t>2020</w:t>
      </w:r>
      <w:r>
        <w:rPr>
          <w:rFonts w:hint="eastAsia" w:hAnsi="宋体"/>
          <w:szCs w:val="21"/>
        </w:rPr>
        <w:t>〕</w:t>
      </w:r>
      <w:r>
        <w:rPr>
          <w:rFonts w:hAnsi="宋体"/>
          <w:szCs w:val="21"/>
        </w:rPr>
        <w:t>46</w:t>
      </w:r>
      <w:r>
        <w:rPr>
          <w:rFonts w:hint="eastAsia" w:hAnsi="宋体"/>
          <w:szCs w:val="21"/>
        </w:rPr>
        <w:t>号）</w:t>
      </w:r>
      <w:r>
        <w:rPr>
          <w:rFonts w:hAnsi="宋体"/>
          <w:szCs w:val="21"/>
        </w:rPr>
        <w:t>、《财政部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w:t>
      </w:r>
      <w:r>
        <w:rPr>
          <w:rFonts w:hint="eastAsia" w:hAnsi="宋体"/>
          <w:szCs w:val="21"/>
        </w:rPr>
        <w:t>：</w:t>
      </w:r>
      <w:r>
        <w:rPr>
          <w:rFonts w:hint="eastAsia" w:hAnsi="宋体"/>
          <w:b/>
          <w:bCs/>
          <w:szCs w:val="21"/>
        </w:rPr>
        <w:t>（1）若投标人不分包，须自身为小微企业，提供《中小企业声明函》，其投标报价扣除10%后参与评审。（2）若投标人分包的，预留份额项目中的非预留部分采购包，应当对符合《政府采购促进中小企业发展管理办法》(财库〔2020〕46号)规定的小微企业投标报价扣除10%后参与评审</w:t>
      </w:r>
      <w:r>
        <w:rPr>
          <w:rFonts w:hAnsi="宋体"/>
          <w:szCs w:val="21"/>
        </w:rPr>
        <w:t>。对于同时属于小微企业、监狱企业或残疾人福利性</w:t>
      </w:r>
      <w:r>
        <w:rPr>
          <w:rFonts w:hint="eastAsia" w:hAnsi="宋体"/>
          <w:szCs w:val="21"/>
        </w:rPr>
        <w:t>单位的，不重复进行投标报价扣除。如有其它政策支持因素（如鼓励创新等）需一并列出。</w:t>
      </w:r>
    </w:p>
    <w:p>
      <w:pPr>
        <w:tabs>
          <w:tab w:val="clear" w:pos="426"/>
        </w:tabs>
        <w:spacing w:line="300" w:lineRule="auto"/>
        <w:ind w:firstLine="420" w:firstLineChars="200"/>
        <w:rPr>
          <w:rFonts w:hAnsi="宋体"/>
          <w:szCs w:val="21"/>
        </w:rPr>
      </w:pPr>
      <w:r>
        <w:rPr>
          <w:rFonts w:hAnsi="宋体"/>
          <w:szCs w:val="21"/>
        </w:rPr>
        <w:t>6.评标专家应对通过投标文件初审进入评标程序的投标文件先评技术标、再评商务标；</w:t>
      </w:r>
    </w:p>
    <w:p>
      <w:pPr>
        <w:tabs>
          <w:tab w:val="clear" w:pos="426"/>
        </w:tabs>
        <w:spacing w:line="300" w:lineRule="auto"/>
        <w:ind w:firstLine="420" w:firstLineChars="200"/>
        <w:rPr>
          <w:rFonts w:hAnsi="宋体"/>
          <w:szCs w:val="21"/>
        </w:rPr>
      </w:pPr>
      <w:r>
        <w:rPr>
          <w:rFonts w:hAnsi="宋体"/>
          <w:szCs w:val="21"/>
        </w:rPr>
        <w:t>7.评标专家需按招标文件规定的评审标准对投标</w:t>
      </w:r>
      <w:r>
        <w:rPr>
          <w:rFonts w:hint="eastAsia" w:hAnsi="宋体"/>
          <w:szCs w:val="21"/>
        </w:rPr>
        <w:t>供应商</w:t>
      </w:r>
      <w:r>
        <w:rPr>
          <w:rFonts w:hAnsi="宋体"/>
          <w:szCs w:val="21"/>
        </w:rPr>
        <w:t>提交的投标文件进行评审，投标文件中与评审标准无关的内容不作为评审内容</w:t>
      </w:r>
      <w:r>
        <w:rPr>
          <w:rFonts w:hint="eastAsia" w:hAnsi="宋体"/>
          <w:szCs w:val="21"/>
        </w:rPr>
        <w:t>。</w:t>
      </w:r>
    </w:p>
    <w:p>
      <w:pPr>
        <w:tabs>
          <w:tab w:val="clear" w:pos="426"/>
        </w:tabs>
        <w:spacing w:line="300" w:lineRule="auto"/>
        <w:ind w:firstLine="420" w:firstLineChars="200"/>
        <w:rPr>
          <w:rFonts w:hAnsi="宋体"/>
          <w:szCs w:val="21"/>
        </w:rPr>
      </w:pPr>
      <w:r>
        <w:rPr>
          <w:rFonts w:hAnsi="宋体"/>
          <w:szCs w:val="21"/>
        </w:rPr>
        <w:t>8.</w:t>
      </w:r>
      <w:r>
        <w:rPr>
          <w:rFonts w:hint="eastAsia" w:hAnsi="宋体"/>
          <w:szCs w:val="21"/>
        </w:rPr>
        <w:t>评标委员会在评标时，应按照以下量化的评审因素，对各投标文件进行分析和比较：</w:t>
      </w:r>
    </w:p>
    <w:p>
      <w:pPr>
        <w:pStyle w:val="62"/>
        <w:widowControl w:val="0"/>
        <w:shd w:val="clear" w:color="auto" w:fill="auto"/>
        <w:tabs>
          <w:tab w:val="clear" w:pos="426"/>
        </w:tabs>
        <w:adjustRightInd/>
        <w:snapToGrid/>
        <w:ind w:firstLine="485"/>
        <w:outlineLvl w:val="0"/>
        <w:rPr>
          <w:rFonts w:ascii="宋体"/>
          <w:bCs w:val="0"/>
          <w:sz w:val="36"/>
          <w:szCs w:val="36"/>
        </w:rPr>
      </w:pPr>
      <w:r>
        <w:rPr>
          <w:rFonts w:ascii="宋体"/>
          <w:bCs w:val="0"/>
          <w:sz w:val="24"/>
          <w:szCs w:val="24"/>
        </w:rPr>
        <w:br w:type="page"/>
      </w:r>
      <w:bookmarkStart w:id="7" w:name="_Toc120892130"/>
      <w:bookmarkStart w:id="8" w:name="_Hlk109230509"/>
      <w:r>
        <w:rPr>
          <w:rFonts w:hint="eastAsia" w:ascii="宋体"/>
          <w:bCs w:val="0"/>
          <w:sz w:val="36"/>
          <w:szCs w:val="36"/>
        </w:rPr>
        <w:t>评分细则表</w:t>
      </w:r>
      <w:bookmarkEnd w:id="7"/>
    </w:p>
    <w:tbl>
      <w:tblPr>
        <w:tblStyle w:val="85"/>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725"/>
        <w:gridCol w:w="992"/>
        <w:gridCol w:w="49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shd w:val="clear" w:color="auto" w:fill="auto"/>
              <w:tabs>
                <w:tab w:val="clear" w:pos="426"/>
              </w:tabs>
              <w:adjustRightInd/>
              <w:snapToGrid/>
              <w:spacing w:line="240" w:lineRule="auto"/>
              <w:jc w:val="center"/>
              <w:rPr>
                <w:rFonts w:hAnsi="宋体" w:cs="仿宋"/>
                <w:b/>
                <w:bCs/>
                <w:kern w:val="2"/>
                <w:szCs w:val="21"/>
              </w:rPr>
            </w:pPr>
            <w:bookmarkStart w:id="9" w:name="_Toc432592812"/>
            <w:r>
              <w:rPr>
                <w:rFonts w:hint="eastAsia" w:hAnsi="宋体" w:cs="仿宋"/>
                <w:b/>
                <w:bCs/>
                <w:kern w:val="2"/>
                <w:szCs w:val="21"/>
              </w:rPr>
              <w:t>序号</w:t>
            </w:r>
          </w:p>
        </w:tc>
        <w:tc>
          <w:tcPr>
            <w:tcW w:w="3397"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shd w:val="clear" w:color="auto" w:fill="auto"/>
              <w:tabs>
                <w:tab w:val="clear" w:pos="426"/>
              </w:tabs>
              <w:adjustRightInd/>
              <w:snapToGrid/>
              <w:spacing w:line="240" w:lineRule="auto"/>
              <w:jc w:val="center"/>
              <w:rPr>
                <w:rFonts w:hAnsi="宋体" w:cs="仿宋"/>
                <w:b/>
                <w:bCs/>
                <w:kern w:val="2"/>
                <w:szCs w:val="21"/>
              </w:rPr>
            </w:pPr>
            <w:r>
              <w:rPr>
                <w:rFonts w:hint="eastAsia" w:hAnsi="宋体" w:cs="仿宋"/>
                <w:b/>
                <w:bCs/>
                <w:kern w:val="2"/>
                <w:szCs w:val="21"/>
              </w:rPr>
              <w:t>评分项</w:t>
            </w:r>
          </w:p>
        </w:tc>
        <w:tc>
          <w:tcPr>
            <w:tcW w:w="4995"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shd w:val="clear" w:color="auto" w:fill="auto"/>
              <w:tabs>
                <w:tab w:val="clear" w:pos="426"/>
              </w:tabs>
              <w:adjustRightInd/>
              <w:snapToGrid/>
              <w:spacing w:line="240" w:lineRule="auto"/>
              <w:jc w:val="center"/>
              <w:rPr>
                <w:rFonts w:hAnsi="宋体" w:cs="仿宋"/>
                <w:b/>
                <w:bCs/>
                <w:kern w:val="2"/>
                <w:szCs w:val="21"/>
              </w:rPr>
            </w:pPr>
            <w:r>
              <w:rPr>
                <w:rFonts w:hint="eastAsia" w:hAnsi="宋体" w:cs="仿宋"/>
                <w:b/>
                <w:bCs/>
                <w:kern w:val="2"/>
                <w:szCs w:val="21"/>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b/>
                <w:bCs/>
                <w:kern w:val="2"/>
                <w:szCs w:val="21"/>
              </w:rPr>
            </w:pPr>
            <w:r>
              <w:rPr>
                <w:rFonts w:hint="eastAsia" w:hAnsi="宋体" w:cs="仿宋"/>
                <w:b/>
                <w:bCs/>
                <w:kern w:val="2"/>
                <w:szCs w:val="21"/>
              </w:rPr>
              <w:t>1</w:t>
            </w:r>
          </w:p>
        </w:tc>
        <w:tc>
          <w:tcPr>
            <w:tcW w:w="3397" w:type="dxa"/>
            <w:gridSpan w:val="3"/>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jc w:val="center"/>
              <w:rPr>
                <w:rFonts w:hAnsi="宋体" w:cs="仿宋"/>
                <w:b/>
                <w:bCs/>
                <w:kern w:val="2"/>
                <w:szCs w:val="21"/>
              </w:rPr>
            </w:pPr>
            <w:r>
              <w:rPr>
                <w:rFonts w:hint="eastAsia" w:hAnsi="宋体" w:cs="仿宋"/>
                <w:b/>
                <w:bCs/>
                <w:kern w:val="2"/>
                <w:szCs w:val="21"/>
              </w:rPr>
              <w:t>价格部分</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jc w:val="center"/>
              <w:rPr>
                <w:rFonts w:hAnsi="宋体" w:cs="仿宋"/>
                <w:b/>
                <w:bCs/>
                <w:kern w:val="2"/>
                <w:szCs w:val="21"/>
              </w:rPr>
            </w:pPr>
            <w:r>
              <w:rPr>
                <w:rFonts w:hint="eastAsia" w:hAnsi="宋体" w:cs="仿宋"/>
                <w:b/>
                <w:bCs/>
                <w:kern w:val="2"/>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jc w:val="center"/>
              <w:rPr>
                <w:rFonts w:hAnsi="宋体" w:cs="仿宋"/>
                <w:b/>
                <w:bCs/>
                <w:kern w:val="2"/>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综合评分法，是指投标文件满足招标文件全部实质性要求，且按照评审因素的量化指标评审得分最高的投标人为中标候选人的评标方法。 </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价格分计算方法：</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采用低价优先法计算，即满足招标文件要求且投标价格最低的投标报价为评标基准价，其价格分为满分。其他投标人的价格分统一按照下列公式计算： </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投标报价得分=(评标基准价／折扣率)×价格分值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b/>
                <w:bCs/>
                <w:kern w:val="2"/>
                <w:szCs w:val="21"/>
              </w:rPr>
            </w:pPr>
            <w:r>
              <w:rPr>
                <w:rFonts w:hint="eastAsia" w:hAnsi="宋体" w:cs="仿宋"/>
                <w:b/>
                <w:bCs/>
                <w:kern w:val="2"/>
                <w:szCs w:val="21"/>
              </w:rPr>
              <w:t>2</w:t>
            </w:r>
          </w:p>
        </w:tc>
        <w:tc>
          <w:tcPr>
            <w:tcW w:w="3397" w:type="dxa"/>
            <w:gridSpan w:val="3"/>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jc w:val="center"/>
              <w:rPr>
                <w:rFonts w:hAnsi="宋体" w:cs="仿宋"/>
                <w:b/>
                <w:bCs/>
                <w:kern w:val="2"/>
                <w:szCs w:val="21"/>
              </w:rPr>
            </w:pPr>
            <w:r>
              <w:rPr>
                <w:rFonts w:hint="eastAsia" w:hAnsi="宋体" w:cs="仿宋"/>
                <w:b/>
                <w:bCs/>
                <w:kern w:val="2"/>
                <w:szCs w:val="21"/>
              </w:rPr>
              <w:t>商务部分</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jc w:val="center"/>
              <w:rPr>
                <w:rFonts w:hAnsi="宋体" w:cs="仿宋"/>
                <w:b/>
                <w:bCs/>
                <w:kern w:val="2"/>
                <w:szCs w:val="21"/>
              </w:rPr>
            </w:pPr>
            <w:r>
              <w:rPr>
                <w:rFonts w:hint="eastAsia" w:hAnsi="宋体" w:cs="仿宋"/>
                <w:b/>
                <w:bCs/>
                <w:kern w:val="2"/>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shd w:val="clear" w:color="auto" w:fill="auto"/>
              <w:tabs>
                <w:tab w:val="clear" w:pos="426"/>
              </w:tabs>
              <w:adjustRightInd/>
              <w:snapToGrid/>
              <w:spacing w:line="240" w:lineRule="auto"/>
              <w:ind w:firstLine="424"/>
              <w:rPr>
                <w:rFonts w:hAnsi="宋体" w:cs="仿宋"/>
                <w:b/>
                <w:bCs/>
                <w:kern w:val="2"/>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序号</w:t>
            </w:r>
          </w:p>
        </w:tc>
        <w:tc>
          <w:tcPr>
            <w:tcW w:w="172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评分因素</w:t>
            </w:r>
          </w:p>
        </w:tc>
        <w:tc>
          <w:tcPr>
            <w:tcW w:w="99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分值</w:t>
            </w:r>
          </w:p>
        </w:tc>
        <w:tc>
          <w:tcPr>
            <w:tcW w:w="499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1</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同类项目经验</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5</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投标人2021年1月1日起至本项目投标截止日之前（以合同签订时间为准），具有食材配送同类业绩，每提供一个同类项目业绩得1分，最高得5分。</w:t>
            </w:r>
          </w:p>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2</w:t>
            </w:r>
            <w:r>
              <w:rPr>
                <w:rFonts w:hAnsi="宋体" w:cs="仿宋"/>
                <w:b/>
                <w:bCs/>
                <w:kern w:val="2"/>
                <w:szCs w:val="21"/>
              </w:rPr>
              <w:t>.</w:t>
            </w:r>
            <w:r>
              <w:rPr>
                <w:rFonts w:hint="eastAsia" w:hAnsi="宋体" w:cs="仿宋"/>
                <w:b/>
                <w:bCs/>
                <w:kern w:val="2"/>
                <w:szCs w:val="21"/>
              </w:rPr>
              <w:t>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投标人需提供合同关键页复印件加盖投标人公章，原件备查。未按要求提供或提供不清晰文件导致专家无法判断的不得分。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2</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投标人履约评价</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5</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w:t>
            </w:r>
            <w:r>
              <w:rPr>
                <w:rFonts w:hAnsi="宋体" w:cs="仿宋"/>
                <w:b/>
                <w:bCs/>
                <w:kern w:val="2"/>
                <w:szCs w:val="21"/>
              </w:rPr>
              <w:t>.</w:t>
            </w:r>
            <w:r>
              <w:rPr>
                <w:rFonts w:hint="eastAsia" w:hAnsi="宋体" w:cs="仿宋"/>
                <w:b/>
                <w:bCs/>
                <w:kern w:val="2"/>
                <w:szCs w:val="21"/>
              </w:rPr>
              <w:t>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根据投标人上述“同类项目经验”的有效业绩进行打分，经项目甲方考核评价为“优”（或其他最高档次评价），每提供一项得1分，累计不超过5分。其他情况不得分。 </w:t>
            </w:r>
          </w:p>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2</w:t>
            </w:r>
            <w:r>
              <w:rPr>
                <w:rFonts w:hAnsi="宋体" w:cs="仿宋"/>
                <w:b/>
                <w:bCs/>
                <w:kern w:val="2"/>
                <w:szCs w:val="21"/>
              </w:rPr>
              <w:t>.</w:t>
            </w:r>
            <w:r>
              <w:rPr>
                <w:rFonts w:hint="eastAsia" w:hAnsi="宋体" w:cs="仿宋"/>
                <w:b/>
                <w:bCs/>
                <w:kern w:val="2"/>
                <w:szCs w:val="21"/>
              </w:rPr>
              <w:t>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提供评价证明复印件加盖投标人公章（评价方须与合同甲方名称保持一致，并加盖合同甲方公章），原件备查，未按要求提供或提供不清晰导致专家无法判断的不得分。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3</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管理体系认证情况</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5</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w:t>
            </w:r>
            <w:r>
              <w:rPr>
                <w:rFonts w:hAnsi="宋体" w:cs="仿宋"/>
                <w:b/>
                <w:bCs/>
                <w:kern w:val="2"/>
                <w:szCs w:val="21"/>
              </w:rPr>
              <w:t>.</w:t>
            </w:r>
            <w:r>
              <w:rPr>
                <w:rFonts w:hint="eastAsia" w:hAnsi="宋体" w:cs="仿宋"/>
                <w:b/>
                <w:bCs/>
                <w:kern w:val="2"/>
                <w:szCs w:val="21"/>
              </w:rPr>
              <w:t>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（1）投标人具有质量管理体系认证证书得1分； </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（2）投标人具有环境管理体系认证证书得1分； </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（3）投标人具有职业健康安全管理体系认证证书得1分； </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（4）投标人具有食品安全管理体系认证证书得1分； </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（5）投标人具有HACCP危害分析与关键控制点体系认证证书得1分。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以上合计最高得5分。</w:t>
            </w:r>
          </w:p>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2</w:t>
            </w:r>
            <w:r>
              <w:rPr>
                <w:rFonts w:hAnsi="宋体" w:cs="仿宋"/>
                <w:b/>
                <w:bCs/>
                <w:kern w:val="2"/>
                <w:szCs w:val="21"/>
              </w:rPr>
              <w:t>.</w:t>
            </w:r>
            <w:r>
              <w:rPr>
                <w:rFonts w:hint="eastAsia" w:hAnsi="宋体" w:cs="仿宋"/>
                <w:b/>
                <w:bCs/>
                <w:kern w:val="2"/>
                <w:szCs w:val="21"/>
              </w:rPr>
              <w:t>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投标人提供以上有效期内的证书复印件加盖投标人公章，国家认证认可监督管理委员会批准的认证机构颁发的认证，还需同时提供认证证书在“全国认证认可信息公共服务平台（认e云）（http://cx.cnca.cn）”的查询截图（须体现网站信息），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4</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产品认证情况</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10</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投标人获得有机产品认证证书的情况：</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（1）具有50个产品（含）以上的，得10分；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（2）具有30个产品（含）-50个产品（不含）的，得5分；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（3）具有10个产品（含）-30个产品（不含）的，得2分；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（4）其他情况不得分。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注：一个（或多个）证书有多个产品可累计得分。</w:t>
            </w:r>
          </w:p>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2.评分依据：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投标人提供以上有效的认证证书的复印件加盖投标人公章及全国认证认可信息公共服务平台（认e云）（http://cx.cnca.cn/）的认证信息截图（须体现网站信息）。</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5</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食品安全保险</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3</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b/>
                <w:bCs/>
                <w:kern w:val="2"/>
                <w:szCs w:val="21"/>
              </w:rPr>
              <w:t>1</w:t>
            </w:r>
            <w:r>
              <w:rPr>
                <w:rFonts w:hAnsi="宋体" w:cs="仿宋"/>
                <w:b/>
                <w:bCs/>
                <w:kern w:val="2"/>
                <w:szCs w:val="21"/>
              </w:rPr>
              <w:t>.</w:t>
            </w:r>
            <w:r>
              <w:rPr>
                <w:rFonts w:hint="eastAsia" w:hAnsi="宋体" w:cs="仿宋"/>
                <w:b/>
                <w:bCs/>
                <w:kern w:val="2"/>
                <w:szCs w:val="21"/>
              </w:rPr>
              <w:t>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（1）在本项目投标截止日之前，投标人购买了在有效期内的食品安全保险保额：40000万元或以上的得1.5分；20000万元（含）至40000万元（不含）的得1分；20000万元以下的得0.5分，其他情况不得分； </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（2）在本项目投标截止日之前，投标人购买了在有效期内的公众责任保险保额：20000万元或以上的得1.5分；10000万元（含）至20000万元（不含）的得1分；10000万元以下的得0.5分，其他情况不得分。 </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以上合计最高得3分。</w:t>
            </w:r>
          </w:p>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2</w:t>
            </w:r>
            <w:r>
              <w:rPr>
                <w:rFonts w:hAnsi="宋体" w:cs="仿宋"/>
                <w:b/>
                <w:bCs/>
                <w:kern w:val="2"/>
                <w:szCs w:val="21"/>
              </w:rPr>
              <w:t>.</w:t>
            </w:r>
            <w:r>
              <w:rPr>
                <w:rFonts w:hint="eastAsia" w:hAnsi="宋体" w:cs="仿宋"/>
                <w:b/>
                <w:bCs/>
                <w:kern w:val="2"/>
                <w:szCs w:val="21"/>
              </w:rPr>
              <w:t>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需提供有效的食品安全保险保单复印件及发票复印件加盖投标人公章，被保险人需为投标人，原件备查，未按要求提供或提供不清晰导致专家无法判断的不得分。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467" w:hRule="atLeast"/>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6</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食品溯源系统</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2</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w:t>
            </w:r>
            <w:r>
              <w:rPr>
                <w:rFonts w:hAnsi="宋体" w:cs="仿宋"/>
                <w:b/>
                <w:bCs/>
                <w:kern w:val="2"/>
                <w:szCs w:val="21"/>
              </w:rPr>
              <w:t>.</w:t>
            </w:r>
            <w:r>
              <w:rPr>
                <w:rFonts w:hint="eastAsia" w:hAnsi="宋体" w:cs="仿宋"/>
                <w:b/>
                <w:bCs/>
                <w:kern w:val="2"/>
                <w:szCs w:val="21"/>
              </w:rPr>
              <w:t>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投标人自有或者购买食品溯源管理系统的得2分；没有不得分。 </w:t>
            </w:r>
          </w:p>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2</w:t>
            </w:r>
            <w:r>
              <w:rPr>
                <w:rFonts w:hAnsi="宋体" w:cs="仿宋"/>
                <w:b/>
                <w:bCs/>
                <w:kern w:val="2"/>
                <w:szCs w:val="21"/>
              </w:rPr>
              <w:t>.</w:t>
            </w:r>
            <w:r>
              <w:rPr>
                <w:rFonts w:hint="eastAsia" w:hAnsi="宋体" w:cs="仿宋"/>
                <w:b/>
                <w:bCs/>
                <w:kern w:val="2"/>
                <w:szCs w:val="21"/>
              </w:rPr>
              <w:t>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（1）若为自有的，投标人提供软件著作权证书复印件（著作权人须是投标人）加盖投标人公章；</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（2）若为购买的，投标人提供购买的合同、发票复印件加盖投标人公章。未按要求提供或提供不清晰导致专家无法判断的不得分，原件备查。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b/>
                <w:bCs/>
                <w:kern w:val="2"/>
                <w:szCs w:val="21"/>
              </w:rPr>
            </w:pPr>
            <w:r>
              <w:rPr>
                <w:rFonts w:hint="eastAsia" w:hAnsi="宋体" w:cs="仿宋"/>
                <w:b/>
                <w:bCs/>
                <w:kern w:val="2"/>
                <w:szCs w:val="21"/>
              </w:rPr>
              <w:t>3</w:t>
            </w:r>
          </w:p>
        </w:tc>
        <w:tc>
          <w:tcPr>
            <w:tcW w:w="3397" w:type="dxa"/>
            <w:gridSpan w:val="3"/>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jc w:val="center"/>
              <w:rPr>
                <w:rFonts w:hAnsi="宋体" w:cs="仿宋"/>
                <w:b/>
                <w:bCs/>
                <w:kern w:val="2"/>
                <w:szCs w:val="21"/>
              </w:rPr>
            </w:pPr>
            <w:r>
              <w:rPr>
                <w:rFonts w:hint="eastAsia" w:hAnsi="宋体" w:cs="仿宋"/>
                <w:b/>
                <w:bCs/>
                <w:kern w:val="2"/>
                <w:szCs w:val="21"/>
              </w:rPr>
              <w:t>技术部分</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jc w:val="center"/>
              <w:rPr>
                <w:rFonts w:hAnsi="宋体" w:cs="仿宋"/>
                <w:b/>
                <w:bCs/>
                <w:kern w:val="2"/>
                <w:szCs w:val="21"/>
              </w:rPr>
            </w:pPr>
            <w:r>
              <w:rPr>
                <w:rFonts w:hint="eastAsia" w:hAnsi="宋体" w:cs="仿宋"/>
                <w:b/>
                <w:bCs/>
                <w:kern w:val="2"/>
                <w:szCs w:val="21"/>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shd w:val="clear" w:color="auto" w:fill="auto"/>
              <w:tabs>
                <w:tab w:val="clear" w:pos="426"/>
              </w:tabs>
              <w:adjustRightInd/>
              <w:snapToGrid/>
              <w:spacing w:line="240" w:lineRule="auto"/>
              <w:ind w:firstLine="424"/>
              <w:jc w:val="center"/>
              <w:rPr>
                <w:rFonts w:hAnsi="宋体" w:cs="仿宋"/>
                <w:b/>
                <w:bCs/>
                <w:kern w:val="2"/>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序号</w:t>
            </w:r>
          </w:p>
        </w:tc>
        <w:tc>
          <w:tcPr>
            <w:tcW w:w="172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评分因素</w:t>
            </w:r>
          </w:p>
        </w:tc>
        <w:tc>
          <w:tcPr>
            <w:tcW w:w="99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分值</w:t>
            </w:r>
          </w:p>
        </w:tc>
        <w:tc>
          <w:tcPr>
            <w:tcW w:w="499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jc w:val="center"/>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1</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项目服务方案</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6</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w:t>
            </w:r>
            <w:r>
              <w:rPr>
                <w:rFonts w:hAnsi="宋体" w:cs="仿宋"/>
                <w:b/>
                <w:bCs/>
                <w:kern w:val="2"/>
                <w:szCs w:val="21"/>
              </w:rPr>
              <w:t>.</w:t>
            </w:r>
            <w:r>
              <w:rPr>
                <w:rFonts w:hint="eastAsia" w:hAnsi="宋体" w:cs="仿宋"/>
                <w:b/>
                <w:bCs/>
                <w:kern w:val="2"/>
                <w:szCs w:val="21"/>
              </w:rPr>
              <w:t>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投标人提供的项目服务方案内容包括：①对项目专项服务小组人员配备、②质量安全控制措施（包括食品来源、入库、出库等全过程的检测与监管措施）、③配送服务计划（包括配送流程、客户沟通、项目重点难点分析、专业性意见及合理化建议等）进行评审，要求内容详尽，具有科学性与可操作性。满足以上3方面内容得3分，满足任意2方面内容得1.5分，满足任意一方面内容得0.5分，未满足不得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在此基础上，专家根据各供应商的具体响应内容评审：</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评审为优(项目服务方案整体科学合理、针对性强和可操作性强)的加3分；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评审为良(项目服务方案整体科学合理、针对性和可操作性较强)的加1.5分；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评审为中(项目服务方案整体科学合理性一般、针对性和可操作性一般)的加0.5分；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评审为差(项目服务方案整体不科学不合理、不具有针对性强和可操作性)的不得分，</w:t>
            </w:r>
            <w:r>
              <w:rPr>
                <w:rFonts w:hint="eastAsia" w:hAnsi="宋体" w:cs="Times New Roman"/>
                <w:szCs w:val="21"/>
              </w:rPr>
              <w:t>如果评审为差，要求专家书面说明理由，并记录在档。</w:t>
            </w:r>
            <w:r>
              <w:rPr>
                <w:rFonts w:hint="eastAsia" w:hAnsi="宋体" w:cs="仿宋"/>
                <w:kern w:val="2"/>
                <w:szCs w:val="21"/>
              </w:rPr>
              <w:t>未提供的不得分。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jc w:val="center"/>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2</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配送保障能力</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5</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w:t>
            </w:r>
            <w:r>
              <w:rPr>
                <w:rFonts w:hAnsi="宋体" w:cs="仿宋"/>
                <w:b/>
                <w:bCs/>
                <w:kern w:val="2"/>
                <w:szCs w:val="21"/>
              </w:rPr>
              <w:t>.</w:t>
            </w:r>
            <w:r>
              <w:rPr>
                <w:rFonts w:hint="eastAsia" w:hAnsi="宋体" w:cs="仿宋"/>
                <w:b/>
                <w:bCs/>
                <w:kern w:val="2"/>
                <w:szCs w:val="21"/>
              </w:rPr>
              <w:t>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根据投标人自有或租赁或承诺中标后提供的冷藏运输车辆总数进行评分：每提供一辆冷藏运输车得1分，最高得5分。</w:t>
            </w:r>
          </w:p>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2</w:t>
            </w:r>
            <w:r>
              <w:rPr>
                <w:rFonts w:hAnsi="宋体" w:cs="仿宋"/>
                <w:b/>
                <w:bCs/>
                <w:kern w:val="2"/>
                <w:szCs w:val="21"/>
              </w:rPr>
              <w:t>.</w:t>
            </w:r>
            <w:r>
              <w:rPr>
                <w:rFonts w:hint="eastAsia" w:hAnsi="宋体" w:cs="仿宋"/>
                <w:b/>
                <w:bCs/>
                <w:kern w:val="2"/>
                <w:szCs w:val="21"/>
              </w:rPr>
              <w:t>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（1）若为自有的，提供①车辆购置发票或机动车登记证书，车辆所有人必须为投标单位或投标人法定代表人；②车头完整正面图片（含车牌号码）。</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w:t>
            </w:r>
            <w:r>
              <w:rPr>
                <w:rFonts w:hAnsi="宋体" w:cs="仿宋"/>
                <w:kern w:val="2"/>
                <w:szCs w:val="21"/>
              </w:rPr>
              <w:t>2</w:t>
            </w:r>
            <w:r>
              <w:rPr>
                <w:rFonts w:hint="eastAsia" w:hAnsi="宋体" w:cs="仿宋"/>
                <w:kern w:val="2"/>
                <w:szCs w:val="21"/>
              </w:rPr>
              <w:t>）若为租赁的，提供①车头完整正面图片（含车牌号码）；②提供车辆租赁合同；③出租方的车辆购置发票或机动车登记证书。</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（3）若提供承诺函（格式自拟）加盖投标人公章。</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（4）未按要求提供或提供不清晰导致专家无法判断的不得分，原件备查。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jc w:val="center"/>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3</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服务配套的设备</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10</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w:t>
            </w:r>
            <w:r>
              <w:rPr>
                <w:rFonts w:hAnsi="宋体" w:cs="仿宋"/>
                <w:b/>
                <w:bCs/>
                <w:kern w:val="2"/>
                <w:szCs w:val="21"/>
              </w:rPr>
              <w:t>.</w:t>
            </w:r>
            <w:r>
              <w:rPr>
                <w:rFonts w:hint="eastAsia" w:hAnsi="宋体" w:cs="仿宋"/>
                <w:b/>
                <w:bCs/>
                <w:kern w:val="2"/>
                <w:szCs w:val="21"/>
              </w:rPr>
              <w:t>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（1）投标人自有</w:t>
            </w:r>
            <w:r>
              <w:rPr>
                <w:rStyle w:val="100"/>
                <w:rFonts w:hint="eastAsia" w:hAnsi="宋体" w:cs="Times New Roman"/>
              </w:rPr>
              <w:t>或第三方合作的</w:t>
            </w:r>
            <w:r>
              <w:rPr>
                <w:rFonts w:hint="eastAsia" w:hAnsi="宋体" w:cs="仿宋"/>
                <w:kern w:val="2"/>
                <w:szCs w:val="21"/>
              </w:rPr>
              <w:t>检测室，且通过具有行业协会或行政机关（或事业单位）颁发的定量定性检验AAA级证书得2.5分，没有的不得分。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2）投标人自有或租赁的农药残留检测仪，为确保仪器正常使用以及数据准确，提供2023年以来的仪器校准报告，且仪器校准内容应包含但不限于分辨力、信噪比、质量准确性、峰面积重复性、离子丰度比重复性、保留时间重复性，得2.5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3）投标人自有或租赁的微生物检测仪，为确保仪器正常使用以及数据准确，提供2023年以来的仪器校准报告，且仪器校准内容应包含但不限于进样压力稳定性、进样压力重复性、激发光波长、激发光强度均匀性、激发光强度稳定性，得2.5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4）投标人自有或租赁的食品添加剂检测仪，为确保仪器正常使用以及数据准确，提供2023年以来的仪器校准报告，且仪器校准内容应包含但不限于基线噪声、基线漂移、最小检测浓度、波长示值最大允许误差、波长重复性、线性范围，得2.5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以上最高得10分。 </w:t>
            </w:r>
          </w:p>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2</w:t>
            </w:r>
            <w:r>
              <w:rPr>
                <w:rFonts w:hAnsi="宋体" w:cs="仿宋"/>
                <w:b/>
                <w:bCs/>
                <w:kern w:val="2"/>
                <w:szCs w:val="21"/>
              </w:rPr>
              <w:t>.</w:t>
            </w:r>
            <w:r>
              <w:rPr>
                <w:rFonts w:hint="eastAsia" w:hAnsi="宋体" w:cs="仿宋"/>
                <w:b/>
                <w:bCs/>
                <w:kern w:val="2"/>
                <w:szCs w:val="21"/>
              </w:rPr>
              <w:t>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（1）投标人提供检测室产权证明或建设合同复印件或租赁合同或第三方合作协议复印件加盖投标人公章；</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2）自有提供定量定性检验AAA级证书复印件加盖投标人公章，合作的提供合作方名义的证书复印件加盖投标人公章；若证书由行业协会或社会组织颁发，还需同时提供①社会团体法人登记证扫描件加盖投标人公章（业务主管单位须是省级（或以上）农业部门），②提供该组织在“中国社会组织政务服务平台（全国社会组织信用信息公示平台）https://chinanpo.mca.gov.cn/”的查询截图（截图需体现网址且状态为正常），否则不得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（3）自有的提供仪器的购买发票，租赁的提供近一个月的租赁发票复印件加盖投标人公章及由具备CMA资质或CNAS资质的第三方检测机构出具的校准报告复印件加盖投标人公章。</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jc w:val="center"/>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4</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第三方食材检测</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10</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w:t>
            </w:r>
            <w:r>
              <w:rPr>
                <w:rFonts w:hAnsi="宋体" w:cs="仿宋"/>
                <w:b/>
                <w:bCs/>
                <w:kern w:val="2"/>
                <w:szCs w:val="21"/>
              </w:rPr>
              <w:t>.</w:t>
            </w:r>
            <w:r>
              <w:rPr>
                <w:rFonts w:hint="eastAsia" w:hAnsi="宋体" w:cs="仿宋"/>
                <w:b/>
                <w:bCs/>
                <w:kern w:val="2"/>
                <w:szCs w:val="21"/>
              </w:rPr>
              <w:t>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根据投标人提供的自</w:t>
            </w:r>
            <w:r>
              <w:rPr>
                <w:rFonts w:hAnsi="宋体" w:cs="仿宋"/>
                <w:kern w:val="2"/>
                <w:szCs w:val="21"/>
              </w:rPr>
              <w:t>202</w:t>
            </w:r>
            <w:r>
              <w:rPr>
                <w:rFonts w:hint="eastAsia" w:hAnsi="宋体" w:cs="仿宋"/>
                <w:kern w:val="2"/>
                <w:szCs w:val="21"/>
                <w:lang w:val="en-US" w:eastAsia="zh-CN"/>
              </w:rPr>
              <w:t>3</w:t>
            </w:r>
            <w:r>
              <w:rPr>
                <w:rFonts w:hint="eastAsia" w:hAnsi="宋体" w:cs="仿宋"/>
                <w:kern w:val="2"/>
                <w:szCs w:val="21"/>
              </w:rPr>
              <w:t>年</w:t>
            </w:r>
            <w:r>
              <w:rPr>
                <w:rFonts w:hAnsi="宋体" w:cs="仿宋"/>
                <w:kern w:val="2"/>
                <w:szCs w:val="21"/>
              </w:rPr>
              <w:t>1月1日</w:t>
            </w:r>
            <w:r>
              <w:rPr>
                <w:rFonts w:hint="eastAsia" w:hAnsi="宋体" w:cs="仿宋"/>
                <w:kern w:val="2"/>
                <w:szCs w:val="21"/>
              </w:rPr>
              <w:t>至本项目投标截止日之前，由具备</w:t>
            </w:r>
            <w:r>
              <w:rPr>
                <w:rFonts w:hAnsi="宋体" w:cs="仿宋"/>
                <w:kern w:val="2"/>
                <w:szCs w:val="21"/>
              </w:rPr>
              <w:t>CMA资质或CNAS资质认证的第三方检测机构出具印有CMA标识或CNAS标识的检测报告（检测报告的委托单位需为投标人，检测结果为合格或未检出等表述，且报告应注明样品的抽样方式为“随机抽样”，随机采集样品每个抽样单元内抽样点不少于3个，否则不得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w:t>
            </w:r>
            <w:r>
              <w:rPr>
                <w:rFonts w:hAnsi="宋体" w:cs="仿宋"/>
                <w:kern w:val="2"/>
                <w:szCs w:val="21"/>
              </w:rPr>
              <w:t xml:space="preserve">1）各提供叶菜类、瓜果类、水果类（三种）的检测报告，检测项目应符合国家标准：①符合GB 2762-2022《食品安全国家标准 </w:t>
            </w:r>
            <w:r>
              <w:rPr>
                <w:rFonts w:hint="eastAsia" w:hAnsi="宋体" w:cs="仿宋"/>
                <w:kern w:val="2"/>
                <w:szCs w:val="21"/>
              </w:rPr>
              <w:t>食品中污染物限量》的检测项任意二项或以上；②符合</w:t>
            </w:r>
            <w:r>
              <w:rPr>
                <w:rFonts w:hAnsi="宋体" w:cs="仿宋"/>
                <w:kern w:val="2"/>
                <w:szCs w:val="21"/>
              </w:rPr>
              <w:t xml:space="preserve">GB 2763-2021《食品安全国家标准 </w:t>
            </w:r>
            <w:r>
              <w:rPr>
                <w:rFonts w:hint="eastAsia" w:hAnsi="宋体" w:cs="仿宋"/>
                <w:kern w:val="2"/>
                <w:szCs w:val="21"/>
              </w:rPr>
              <w:t>食品中农药最大残留限量》的检测项任意四项或以上；③符合</w:t>
            </w:r>
            <w:r>
              <w:rPr>
                <w:rFonts w:hAnsi="宋体" w:cs="仿宋"/>
                <w:kern w:val="2"/>
                <w:szCs w:val="21"/>
              </w:rPr>
              <w:t xml:space="preserve">GB 5009.265-2021《食品安全国家标准 </w:t>
            </w:r>
            <w:r>
              <w:rPr>
                <w:rFonts w:hint="eastAsia" w:hAnsi="宋体" w:cs="仿宋"/>
                <w:kern w:val="2"/>
                <w:szCs w:val="21"/>
              </w:rPr>
              <w:t>食品中多环芳烃的测定》的检测项任意二项或以上；满足以上全部要求得</w:t>
            </w:r>
            <w:r>
              <w:rPr>
                <w:rFonts w:hAnsi="宋体" w:cs="仿宋"/>
                <w:kern w:val="2"/>
                <w:szCs w:val="21"/>
              </w:rPr>
              <w:t>2.5分，其他情况不得分；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w:t>
            </w:r>
            <w:r>
              <w:rPr>
                <w:rFonts w:hAnsi="宋体" w:cs="仿宋"/>
                <w:kern w:val="2"/>
                <w:szCs w:val="21"/>
              </w:rPr>
              <w:t xml:space="preserve">2）各提供海鱼类、淡水鱼类、贝壳类（三种）的检测报告，检测项目应符合国家标准：①符合GB 2762-2022《食品安全国家标准 </w:t>
            </w:r>
            <w:r>
              <w:rPr>
                <w:rFonts w:hint="eastAsia" w:hAnsi="宋体" w:cs="仿宋"/>
                <w:kern w:val="2"/>
                <w:szCs w:val="21"/>
              </w:rPr>
              <w:t>食品中污染物限量》的检测项任意二项或以上；②符合</w:t>
            </w:r>
            <w:r>
              <w:rPr>
                <w:rFonts w:hAnsi="宋体" w:cs="仿宋"/>
                <w:kern w:val="2"/>
                <w:szCs w:val="21"/>
              </w:rPr>
              <w:t xml:space="preserve">GB 31650-2019 </w:t>
            </w:r>
            <w:r>
              <w:rPr>
                <w:rFonts w:hint="eastAsia" w:hAnsi="宋体" w:cs="仿宋"/>
                <w:kern w:val="2"/>
                <w:szCs w:val="21"/>
              </w:rPr>
              <w:t>《食品安全国家标准</w:t>
            </w:r>
            <w:r>
              <w:rPr>
                <w:rFonts w:hAnsi="宋体" w:cs="仿宋"/>
                <w:kern w:val="2"/>
                <w:szCs w:val="21"/>
              </w:rPr>
              <w:t xml:space="preserve"> </w:t>
            </w:r>
            <w:r>
              <w:rPr>
                <w:rFonts w:hint="eastAsia" w:hAnsi="宋体" w:cs="仿宋"/>
                <w:kern w:val="2"/>
                <w:szCs w:val="21"/>
              </w:rPr>
              <w:t>食品中兽药最大残留限量》的检测项任意四项或以上；③符合《中华人民共和国农业农村部公告</w:t>
            </w:r>
            <w:r>
              <w:rPr>
                <w:rFonts w:hAnsi="宋体" w:cs="仿宋"/>
                <w:kern w:val="2"/>
                <w:szCs w:val="21"/>
              </w:rPr>
              <w:t xml:space="preserve"> </w:t>
            </w:r>
            <w:r>
              <w:rPr>
                <w:rFonts w:hint="eastAsia" w:hAnsi="宋体" w:cs="仿宋"/>
                <w:kern w:val="2"/>
                <w:szCs w:val="21"/>
              </w:rPr>
              <w:t>第</w:t>
            </w:r>
            <w:r>
              <w:rPr>
                <w:rFonts w:hAnsi="宋体" w:cs="仿宋"/>
                <w:kern w:val="2"/>
                <w:szCs w:val="21"/>
              </w:rPr>
              <w:t>250号》的检测项任意二项或以上；满足以上全部要求得2.5分，其他情况不得分；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w:t>
            </w:r>
            <w:r>
              <w:rPr>
                <w:rFonts w:hAnsi="宋体" w:cs="仿宋"/>
                <w:kern w:val="2"/>
                <w:szCs w:val="21"/>
              </w:rPr>
              <w:t xml:space="preserve">3）各提供猪、牛、鸡（三种）的检测报告，检测项目应符合国家标准：①符合GB 2762-2022《食品安全国家标准 </w:t>
            </w:r>
            <w:r>
              <w:rPr>
                <w:rFonts w:hint="eastAsia" w:hAnsi="宋体" w:cs="仿宋"/>
                <w:kern w:val="2"/>
                <w:szCs w:val="21"/>
              </w:rPr>
              <w:t>食品中污染物限量》的检测项任意二项或以上；②符合</w:t>
            </w:r>
            <w:r>
              <w:rPr>
                <w:rFonts w:hAnsi="宋体" w:cs="仿宋"/>
                <w:kern w:val="2"/>
                <w:szCs w:val="21"/>
              </w:rPr>
              <w:t xml:space="preserve">GB 2763-2021《食品安全国家标准 </w:t>
            </w:r>
            <w:r>
              <w:rPr>
                <w:rFonts w:hint="eastAsia" w:hAnsi="宋体" w:cs="仿宋"/>
                <w:kern w:val="2"/>
                <w:szCs w:val="21"/>
              </w:rPr>
              <w:t>食品中农药最大残留限量》的检测项任意二项或以上；③符合</w:t>
            </w:r>
            <w:r>
              <w:rPr>
                <w:rFonts w:hAnsi="宋体" w:cs="仿宋"/>
                <w:kern w:val="2"/>
                <w:szCs w:val="21"/>
              </w:rPr>
              <w:t xml:space="preserve">GB 31650-2019 </w:t>
            </w:r>
            <w:r>
              <w:rPr>
                <w:rFonts w:hint="eastAsia" w:hAnsi="宋体" w:cs="仿宋"/>
                <w:kern w:val="2"/>
                <w:szCs w:val="21"/>
              </w:rPr>
              <w:t>《食品安全国家标准</w:t>
            </w:r>
            <w:r>
              <w:rPr>
                <w:rFonts w:hAnsi="宋体" w:cs="仿宋"/>
                <w:kern w:val="2"/>
                <w:szCs w:val="21"/>
              </w:rPr>
              <w:t xml:space="preserve"> </w:t>
            </w:r>
            <w:r>
              <w:rPr>
                <w:rFonts w:hint="eastAsia" w:hAnsi="宋体" w:cs="仿宋"/>
                <w:kern w:val="2"/>
                <w:szCs w:val="21"/>
              </w:rPr>
              <w:t>食品中兽药最大残留限量》的检测项任意四项或以上；④符合</w:t>
            </w:r>
            <w:r>
              <w:rPr>
                <w:rFonts w:hAnsi="宋体" w:cs="仿宋"/>
                <w:kern w:val="2"/>
                <w:szCs w:val="21"/>
              </w:rPr>
              <w:t xml:space="preserve">GB 5009.265-2021《食品安全国家标准 </w:t>
            </w:r>
            <w:r>
              <w:rPr>
                <w:rFonts w:hint="eastAsia" w:hAnsi="宋体" w:cs="仿宋"/>
                <w:kern w:val="2"/>
                <w:szCs w:val="21"/>
              </w:rPr>
              <w:t>食品中多环芳烃的测定》的检测项任意二项或以上；满足以上全部要求得</w:t>
            </w:r>
            <w:r>
              <w:rPr>
                <w:rFonts w:hAnsi="宋体" w:cs="仿宋"/>
                <w:kern w:val="2"/>
                <w:szCs w:val="21"/>
              </w:rPr>
              <w:t>2.5分，其他情况不得分；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w:t>
            </w:r>
            <w:r>
              <w:rPr>
                <w:rFonts w:hAnsi="宋体" w:cs="仿宋"/>
                <w:kern w:val="2"/>
                <w:szCs w:val="21"/>
              </w:rPr>
              <w:t xml:space="preserve">4）各提供酱油、醋、辣椒酱（三种）的检测报告，检测项目应符合国家标准：①符合GB 2762-2022《食品安全国家标准 </w:t>
            </w:r>
            <w:r>
              <w:rPr>
                <w:rFonts w:hint="eastAsia" w:hAnsi="宋体" w:cs="仿宋"/>
                <w:kern w:val="2"/>
                <w:szCs w:val="21"/>
              </w:rPr>
              <w:t>食品中污染物限量》的检测项任意二项或以上；②符合</w:t>
            </w:r>
            <w:r>
              <w:rPr>
                <w:rFonts w:hAnsi="宋体" w:cs="仿宋"/>
                <w:kern w:val="2"/>
                <w:szCs w:val="21"/>
              </w:rPr>
              <w:t xml:space="preserve">GB 2760-2014《食品安全国家标准食品添加剂使用标准》的检测项任意三项或以上；③符合GB 2761-2017 </w:t>
            </w:r>
            <w:r>
              <w:rPr>
                <w:rFonts w:hint="eastAsia" w:hAnsi="宋体" w:cs="仿宋"/>
                <w:kern w:val="2"/>
                <w:szCs w:val="21"/>
              </w:rPr>
              <w:t>《食品安全国家标准</w:t>
            </w:r>
            <w:r>
              <w:rPr>
                <w:rFonts w:hAnsi="宋体" w:cs="仿宋"/>
                <w:kern w:val="2"/>
                <w:szCs w:val="21"/>
              </w:rPr>
              <w:t xml:space="preserve"> </w:t>
            </w:r>
            <w:r>
              <w:rPr>
                <w:rFonts w:hint="eastAsia" w:hAnsi="宋体" w:cs="仿宋"/>
                <w:kern w:val="2"/>
                <w:szCs w:val="21"/>
              </w:rPr>
              <w:t>食品中真菌毒素限量》的检测项任意二项或以上；④符合</w:t>
            </w:r>
            <w:r>
              <w:rPr>
                <w:rFonts w:hAnsi="宋体" w:cs="仿宋"/>
                <w:kern w:val="2"/>
                <w:szCs w:val="21"/>
              </w:rPr>
              <w:t xml:space="preserve">GB 2763-2021《食品安全国家标准 </w:t>
            </w:r>
            <w:r>
              <w:rPr>
                <w:rFonts w:hint="eastAsia" w:hAnsi="宋体" w:cs="仿宋"/>
                <w:kern w:val="2"/>
                <w:szCs w:val="21"/>
              </w:rPr>
              <w:t>食品中农药最大残留限量》的检测项任意二项或以上；⑤符合</w:t>
            </w:r>
            <w:r>
              <w:rPr>
                <w:rFonts w:hAnsi="宋体" w:cs="仿宋"/>
                <w:kern w:val="2"/>
                <w:szCs w:val="21"/>
              </w:rPr>
              <w:t>GB 5009.32-2016《食品安全国家标准食品中9种抗氧化剂的测定》检测项任意二项或以上；满足以上全部要求得2.5分，其他情况不得分；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以上四项合计最高得</w:t>
            </w:r>
            <w:r>
              <w:rPr>
                <w:rFonts w:hAnsi="宋体" w:cs="仿宋"/>
                <w:kern w:val="2"/>
                <w:szCs w:val="21"/>
              </w:rPr>
              <w:t>10分。</w:t>
            </w:r>
          </w:p>
          <w:p>
            <w:pPr>
              <w:widowControl w:val="0"/>
              <w:shd w:val="clear" w:color="auto" w:fill="auto"/>
              <w:tabs>
                <w:tab w:val="clear" w:pos="426"/>
              </w:tabs>
              <w:adjustRightInd/>
              <w:snapToGrid/>
              <w:spacing w:line="240" w:lineRule="auto"/>
              <w:rPr>
                <w:rFonts w:hAnsi="宋体" w:cs="仿宋"/>
                <w:kern w:val="2"/>
                <w:szCs w:val="21"/>
              </w:rPr>
            </w:pPr>
            <w:r>
              <w:rPr>
                <w:rFonts w:hAnsi="宋体" w:cs="仿宋"/>
                <w:b/>
                <w:bCs/>
                <w:kern w:val="2"/>
                <w:szCs w:val="21"/>
              </w:rPr>
              <w:t>2.评分依据：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投标人提供</w:t>
            </w:r>
            <w:r>
              <w:rPr>
                <w:rFonts w:hAnsi="宋体" w:cs="仿宋"/>
                <w:kern w:val="2"/>
                <w:szCs w:val="21"/>
              </w:rPr>
              <w:t>202</w:t>
            </w:r>
            <w:r>
              <w:rPr>
                <w:rFonts w:hint="eastAsia" w:hAnsi="宋体" w:cs="仿宋"/>
                <w:kern w:val="2"/>
                <w:szCs w:val="21"/>
                <w:lang w:val="en-US" w:eastAsia="zh-CN"/>
              </w:rPr>
              <w:t>3</w:t>
            </w:r>
            <w:r>
              <w:rPr>
                <w:rFonts w:hint="eastAsia" w:hAnsi="宋体" w:cs="仿宋"/>
                <w:kern w:val="2"/>
                <w:szCs w:val="21"/>
              </w:rPr>
              <w:t>年</w:t>
            </w:r>
            <w:r>
              <w:rPr>
                <w:rFonts w:hAnsi="宋体" w:cs="仿宋"/>
                <w:kern w:val="2"/>
                <w:szCs w:val="21"/>
              </w:rPr>
              <w:t>1月1日至本项目投标截止日之前连续三个月（时间以抽样时间为准）抽样产品的检测报告（加盖第三方检测机构公章和检测专用章）复印件及相对应三个月的检测费用发票</w:t>
            </w:r>
            <w:r>
              <w:rPr>
                <w:rFonts w:hint="eastAsia" w:hAnsi="宋体" w:cs="仿宋"/>
                <w:kern w:val="2"/>
                <w:szCs w:val="21"/>
              </w:rPr>
              <w:t>复印件，检测报告上需有</w:t>
            </w:r>
            <w:r>
              <w:rPr>
                <w:rFonts w:hAnsi="宋体" w:cs="仿宋"/>
                <w:kern w:val="2"/>
                <w:szCs w:val="21"/>
              </w:rPr>
              <w:t>CMA标识或CNAS标识和抽样人员信息，提供食品安全抽样检验任务委托书；为方便专家在现场进行查阅和对比，需提供相关证明文件（国家标准原文或摘录），以充分证明所列检测项目确实属于对应的相关国家标准中的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注：若供应商成立不足三个月的，需提供成立情况说明函（格式自拟），无需提供相关检测报告，亦可得分；原件备查，未按要求提供或提供不清晰导致专家无法判断的不得分。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jc w:val="center"/>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5</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基地建设</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4</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w:t>
            </w:r>
            <w:r>
              <w:rPr>
                <w:rFonts w:hAnsi="宋体" w:cs="仿宋"/>
                <w:b/>
                <w:bCs/>
                <w:kern w:val="2"/>
                <w:szCs w:val="21"/>
              </w:rPr>
              <w:t>.</w:t>
            </w:r>
            <w:r>
              <w:rPr>
                <w:rFonts w:hint="eastAsia" w:hAnsi="宋体" w:cs="仿宋"/>
                <w:b/>
                <w:bCs/>
                <w:kern w:val="2"/>
                <w:szCs w:val="21"/>
              </w:rPr>
              <w:t>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（1）投标人具备（自有或租赁或合作）种植基地面积情况：面积≥500 亩的，得2.5分；300 亩≤面积＜500 亩的，得1.5分；100亩≤面积＜300 亩的，得0.5分；其他情况不得分，此项最高得2.5分。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（2）投标人自2022年1月1日至投标截止之日前，具有第三方检测机构出具的印有CMA或CNAS印章标识的种植基地检测报告（检测报告的委托单位需为投标人，检测结果为合格或未检出等表述）：</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①提供土壤检测报告，得0.5分；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②提供灌溉水源检测报告，得0.5分；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③提供环境空气检测报告，得0.5分。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以上累计最高得4分。</w:t>
            </w:r>
          </w:p>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2</w:t>
            </w:r>
            <w:r>
              <w:rPr>
                <w:rFonts w:hAnsi="宋体" w:cs="仿宋"/>
                <w:b/>
                <w:bCs/>
                <w:kern w:val="2"/>
                <w:szCs w:val="21"/>
              </w:rPr>
              <w:t>.</w:t>
            </w:r>
            <w:r>
              <w:rPr>
                <w:rFonts w:hint="eastAsia" w:hAnsi="宋体" w:cs="仿宋"/>
                <w:b/>
                <w:bCs/>
                <w:kern w:val="2"/>
                <w:szCs w:val="21"/>
              </w:rPr>
              <w:t>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（1）投标人提供有效的自有种植基地产权证明或基地土地租赁合同证明文件或合作协议复印件；</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（2）投标人提供土壤、灌溉水源、环境空气检测报告复印件，检测报告上需有CMA或CNAS印章标识。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以上资料原件备查，未按要求提供或提供不清晰导致专家无法判断的不得分。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jc w:val="center"/>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6</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拟派本项目团队人员</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10</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w:t>
            </w:r>
            <w:r>
              <w:rPr>
                <w:rFonts w:hAnsi="宋体" w:cs="仿宋"/>
                <w:b/>
                <w:bCs/>
                <w:kern w:val="2"/>
                <w:szCs w:val="21"/>
              </w:rPr>
              <w:t>.</w:t>
            </w:r>
            <w:r>
              <w:rPr>
                <w:rFonts w:hint="eastAsia" w:hAnsi="宋体" w:cs="仿宋"/>
                <w:b/>
                <w:bCs/>
                <w:kern w:val="2"/>
                <w:szCs w:val="21"/>
              </w:rPr>
              <w:t>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（1）投标人拟派本科（或以上）的项目负责人（限1人）：</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①具有人社部门颁发的高级职称（农业类相关）的证书得2分；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②具有省级（不含副省级）或以上农业相关政府部门颁发的获奖证书，得2分。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（2）投标人拟派本项目团队人员（除项目负责人）：</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①具有人力资源与社会保障部门（或原劳动和社会保障）行政主管部门或在人力资源和社会保障部门备案的第三方评价机构颁发的农产品食品检验员或食品检验员（工）技能等级证书（一级/高级技师）得2分；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②具有人力资源与社会保障部门（或原劳动和社会保障）行政主管部门或在人力资源和社会保障部门备案的第三方评价机构颁发的健康管理师技能等级证书（一级/高级技师）得2分；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③具有人力资源与社会保障部门（或原劳动和社会保障）行政主管部门或在人力资源和社会保障部门备案的第三方评价机构颁发的公共营养师技能等级证书（一级/高级技师）得2分；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以上最高得10分。</w:t>
            </w:r>
          </w:p>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2</w:t>
            </w:r>
            <w:r>
              <w:rPr>
                <w:rFonts w:hAnsi="宋体" w:cs="仿宋"/>
                <w:b/>
                <w:bCs/>
                <w:kern w:val="2"/>
                <w:szCs w:val="21"/>
              </w:rPr>
              <w:t>.</w:t>
            </w:r>
            <w:r>
              <w:rPr>
                <w:rFonts w:hint="eastAsia" w:hAnsi="宋体" w:cs="仿宋"/>
                <w:b/>
                <w:bCs/>
                <w:kern w:val="2"/>
                <w:szCs w:val="21"/>
              </w:rPr>
              <w:t>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（1）提供相关证书的复印件；</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（2）技能等级证书须提供技能人才评价证书全国联网查询截图（</w:t>
            </w:r>
            <w:r>
              <w:rPr>
                <w:rFonts w:hAnsi="宋体" w:cs="仿宋"/>
                <w:kern w:val="2"/>
                <w:szCs w:val="21"/>
              </w:rPr>
              <w:t>http://jndj.osta.org.cn）；</w:t>
            </w:r>
            <w:r>
              <w:rPr>
                <w:rFonts w:hint="eastAsia" w:hAnsi="宋体" w:cs="仿宋"/>
                <w:kern w:val="2"/>
                <w:szCs w:val="21"/>
              </w:rPr>
              <w:t>如已获得职业技能等级证书，但尚未能在技能人才评价证书全国联网查询的，需提供发证机构在人社部备案的查询截图</w:t>
            </w:r>
            <w:r>
              <w:rPr>
                <w:rFonts w:hAnsi="宋体" w:cs="仿宋"/>
                <w:kern w:val="2"/>
                <w:szCs w:val="21"/>
              </w:rPr>
              <w:t xml:space="preserve">(http://pjjg.osta.org.cn/) </w:t>
            </w:r>
            <w:r>
              <w:rPr>
                <w:rFonts w:hint="eastAsia" w:hAnsi="宋体" w:cs="仿宋"/>
                <w:kern w:val="2"/>
                <w:szCs w:val="21"/>
              </w:rPr>
              <w:t>，截图页须显示评价机构的名称及开展职业技能等级认定的职业内容：包含职业名称、工种</w:t>
            </w:r>
            <w:r>
              <w:rPr>
                <w:rFonts w:hAnsi="宋体" w:cs="仿宋"/>
                <w:kern w:val="2"/>
                <w:szCs w:val="21"/>
              </w:rPr>
              <w:t>/职业方向名称、级别（必须有1级）等信息，未包含或不符合以上信息不得分。另外提供发证机构开具加盖公章的证明文件；</w:t>
            </w:r>
            <w:r>
              <w:rPr>
                <w:rFonts w:hint="eastAsia" w:hAnsi="宋体" w:cs="仿宋"/>
                <w:kern w:val="2"/>
                <w:szCs w:val="21"/>
              </w:rPr>
              <w:t>由行业协会等社会组织颁发的证书，还需同时提供该组织在“中国社会组织政务服务平台（全国社会组织信用信息公示平台）</w:t>
            </w:r>
            <w:r>
              <w:rPr>
                <w:rFonts w:hAnsi="宋体" w:cs="仿宋"/>
                <w:kern w:val="2"/>
                <w:szCs w:val="21"/>
              </w:rPr>
              <w:t>https://chinanpo.mca.gov.cn/”的查询截图（截图需体现网址且状态为正常），否则不得分</w:t>
            </w:r>
            <w:r>
              <w:rPr>
                <w:rFonts w:hint="eastAsia" w:hAnsi="宋体" w:cs="仿宋"/>
                <w:kern w:val="2"/>
                <w:szCs w:val="21"/>
              </w:rPr>
              <w:t>；</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3）涉及学历：提供毕业证书及学信网查询记录。对于较早颁发的学历证书，学信网无法查询的，要求提供其他佐证材料（如毕业院校、人社部门等颁发机构或监管机构等单位出具的证明）作为可以得分的依据等证明文件作为得分依据。海外留学人员（含港澳台）学历无法通过学信网站查询，允许提供“教育部留学服务中心出具的国外学历认证证书以及教育部留学服务中心官网查询截图”；</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4）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jc w:val="center"/>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7</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拟投入本项目配送场所</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5</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w:t>
            </w:r>
            <w:r>
              <w:rPr>
                <w:rFonts w:hAnsi="宋体" w:cs="仿宋"/>
                <w:b/>
                <w:bCs/>
                <w:kern w:val="2"/>
                <w:szCs w:val="21"/>
              </w:rPr>
              <w:t>.</w:t>
            </w:r>
            <w:r>
              <w:rPr>
                <w:rFonts w:hint="eastAsia" w:hAnsi="宋体" w:cs="仿宋"/>
                <w:b/>
                <w:bCs/>
                <w:kern w:val="2"/>
                <w:szCs w:val="21"/>
              </w:rPr>
              <w:t>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根据投标人自有或租赁或</w:t>
            </w:r>
            <w:r>
              <w:rPr>
                <w:rFonts w:hint="eastAsia" w:hAnsi="宋体"/>
                <w:szCs w:val="21"/>
              </w:rPr>
              <w:t>承诺中标后提供</w:t>
            </w:r>
            <w:r>
              <w:rPr>
                <w:rFonts w:hint="eastAsia" w:hAnsi="宋体" w:cs="仿宋"/>
                <w:kern w:val="2"/>
                <w:szCs w:val="21"/>
              </w:rPr>
              <w:t>配送场所面积进行评分：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（1）1000（含）平方米以上的，得5分； </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（2）500（含）-1000（不含）平方米的，得3分； </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（3）200（含）-500（不含）平方米的，得2分； </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（4）200（不含）平方米以下，得1分； </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 xml:space="preserve">（5）没有不得分。 </w:t>
            </w:r>
          </w:p>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2</w:t>
            </w:r>
            <w:r>
              <w:rPr>
                <w:rFonts w:hAnsi="宋体" w:cs="仿宋"/>
                <w:b/>
                <w:bCs/>
                <w:kern w:val="2"/>
                <w:szCs w:val="21"/>
              </w:rPr>
              <w:t>.</w:t>
            </w:r>
            <w:r>
              <w:rPr>
                <w:rFonts w:hint="eastAsia" w:hAnsi="宋体" w:cs="仿宋"/>
                <w:b/>
                <w:bCs/>
                <w:kern w:val="2"/>
                <w:szCs w:val="21"/>
              </w:rPr>
              <w:t>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投标人提供的场所地权属证明（房产证明或租赁合同）的复印件加盖投标人公章，或提供承诺函（格式自拟）加盖投标人公章；未按要求提供或提供不清晰导致专家无法判断的不得分，原件备查。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jc w:val="center"/>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8</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冷库面积</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5</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1</w:t>
            </w:r>
            <w:r>
              <w:rPr>
                <w:rFonts w:hAnsi="宋体" w:cs="仿宋"/>
                <w:b/>
                <w:bCs/>
                <w:kern w:val="2"/>
                <w:szCs w:val="21"/>
              </w:rPr>
              <w:t>.</w:t>
            </w:r>
            <w:r>
              <w:rPr>
                <w:rFonts w:hint="eastAsia" w:hAnsi="宋体" w:cs="仿宋"/>
                <w:b/>
                <w:bCs/>
                <w:kern w:val="2"/>
                <w:szCs w:val="21"/>
              </w:rPr>
              <w:t>评审内容：</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根据投标人自有或租赁或</w:t>
            </w:r>
            <w:r>
              <w:rPr>
                <w:rFonts w:hint="eastAsia" w:hAnsi="宋体"/>
                <w:szCs w:val="21"/>
              </w:rPr>
              <w:t>承诺中标后提供</w:t>
            </w:r>
            <w:r>
              <w:rPr>
                <w:rFonts w:hint="eastAsia" w:hAnsi="宋体" w:cs="仿宋"/>
                <w:kern w:val="2"/>
                <w:szCs w:val="21"/>
              </w:rPr>
              <w:t>的冷库（含冷冻库和冷藏库）总面积进行评分：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（1）面积在150平方米（含）以上的得5分；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（2）面积在100平方米（含）-150（不含）平方米的得3分；</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（3）面积在50平方米（含）-100（不含）平方米的得1分；</w:t>
            </w:r>
          </w:p>
          <w:p>
            <w:pPr>
              <w:widowControl w:val="0"/>
              <w:shd w:val="clear" w:color="auto" w:fill="auto"/>
              <w:tabs>
                <w:tab w:val="clear" w:pos="426"/>
              </w:tabs>
              <w:adjustRightInd/>
              <w:snapToGrid/>
              <w:spacing w:line="240" w:lineRule="auto"/>
              <w:rPr>
                <w:rFonts w:hAnsi="宋体" w:cs="仿宋"/>
                <w:b/>
                <w:bCs/>
                <w:kern w:val="2"/>
                <w:szCs w:val="21"/>
              </w:rPr>
            </w:pPr>
            <w:r>
              <w:rPr>
                <w:rFonts w:hint="eastAsia" w:hAnsi="宋体" w:cs="仿宋"/>
                <w:b/>
                <w:bCs/>
                <w:kern w:val="2"/>
                <w:szCs w:val="21"/>
              </w:rPr>
              <w:t>2</w:t>
            </w:r>
            <w:r>
              <w:rPr>
                <w:rFonts w:hAnsi="宋体" w:cs="仿宋"/>
                <w:b/>
                <w:bCs/>
                <w:kern w:val="2"/>
                <w:szCs w:val="21"/>
              </w:rPr>
              <w:t>.</w:t>
            </w:r>
            <w:r>
              <w:rPr>
                <w:rFonts w:hint="eastAsia" w:hAnsi="宋体" w:cs="仿宋"/>
                <w:b/>
                <w:bCs/>
                <w:kern w:val="2"/>
                <w:szCs w:val="21"/>
              </w:rPr>
              <w:t>评分依据：</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（1）自有冷库提供冷库工程竣工验收报告或冷库安装合同或冷库转让合同的复印件加盖投标人公章，租赁冷库提供租赁合同复印件加盖投标人公章；</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（2）提供由具备CMA资质或CNAS资质的第三方检测机构出具的冷库温度校准证书复印件，委托单位需为投标人；</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（3）提供由具备CMA资质或CNAS资质的第三方测绘机构出具的面积测绘报告复印件加盖投标人公章，委托单位需为投标人，且需体现冷库面积；</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（4）提供承诺函（格式自拟）加盖投标人公章。</w:t>
            </w:r>
          </w:p>
          <w:p>
            <w:pPr>
              <w:widowControl w:val="0"/>
              <w:shd w:val="clear" w:color="auto" w:fill="auto"/>
              <w:tabs>
                <w:tab w:val="clear" w:pos="426"/>
              </w:tabs>
              <w:adjustRightInd/>
              <w:snapToGrid/>
              <w:spacing w:line="240" w:lineRule="auto"/>
              <w:rPr>
                <w:rFonts w:hAnsi="宋体" w:cs="仿宋"/>
                <w:kern w:val="2"/>
                <w:szCs w:val="21"/>
              </w:rPr>
            </w:pPr>
            <w:r>
              <w:rPr>
                <w:rFonts w:hint="eastAsia" w:hAnsi="宋体" w:cs="仿宋"/>
                <w:kern w:val="2"/>
                <w:szCs w:val="21"/>
              </w:rPr>
              <w:t>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b/>
                <w:bCs/>
                <w:kern w:val="2"/>
                <w:szCs w:val="21"/>
              </w:rPr>
            </w:pPr>
            <w:r>
              <w:rPr>
                <w:rFonts w:hint="eastAsia" w:hAnsi="宋体" w:cs="仿宋"/>
                <w:b/>
                <w:bCs/>
                <w:kern w:val="2"/>
                <w:szCs w:val="21"/>
              </w:rPr>
              <w:t>4</w:t>
            </w:r>
          </w:p>
        </w:tc>
        <w:tc>
          <w:tcPr>
            <w:tcW w:w="3397" w:type="dxa"/>
            <w:gridSpan w:val="3"/>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b/>
                <w:bCs/>
                <w:kern w:val="2"/>
                <w:szCs w:val="21"/>
              </w:rPr>
              <w:t>诚信部分</w:t>
            </w:r>
          </w:p>
        </w:tc>
        <w:tc>
          <w:tcPr>
            <w:tcW w:w="4995" w:type="dxa"/>
            <w:tcBorders>
              <w:top w:val="single" w:color="000000" w:sz="8" w:space="0"/>
              <w:left w:val="single" w:color="000000" w:sz="8" w:space="0"/>
              <w:bottom w:val="single" w:color="000000" w:sz="8" w:space="0"/>
              <w:right w:val="single" w:color="000000" w:sz="8" w:space="0"/>
            </w:tcBorders>
          </w:tcPr>
          <w:p>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b/>
                <w:bCs/>
                <w:kern w:val="2"/>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jc w:val="center"/>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序号</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评分因素</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分值</w:t>
            </w:r>
          </w:p>
        </w:tc>
        <w:tc>
          <w:tcPr>
            <w:tcW w:w="499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ind w:firstLine="424"/>
              <w:jc w:val="center"/>
              <w:rPr>
                <w:rFonts w:hAnsi="宋体" w:cs="仿宋"/>
                <w:b/>
                <w:bCs/>
                <w:kern w:val="2"/>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1</w:t>
            </w:r>
          </w:p>
        </w:tc>
        <w:tc>
          <w:tcPr>
            <w:tcW w:w="172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诚信管理情况</w:t>
            </w:r>
          </w:p>
        </w:tc>
        <w:tc>
          <w:tcPr>
            <w:tcW w:w="992"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5</w:t>
            </w:r>
          </w:p>
        </w:tc>
        <w:tc>
          <w:tcPr>
            <w:tcW w:w="4995" w:type="dxa"/>
            <w:tcBorders>
              <w:top w:val="single" w:color="000000" w:sz="8" w:space="0"/>
              <w:left w:val="single" w:color="000000" w:sz="8" w:space="0"/>
              <w:bottom w:val="single" w:color="000000" w:sz="8" w:space="0"/>
              <w:right w:val="single" w:color="000000" w:sz="8" w:space="0"/>
            </w:tcBorders>
            <w:vAlign w:val="center"/>
          </w:tcPr>
          <w:p>
            <w:pPr>
              <w:widowControl w:val="0"/>
              <w:shd w:val="clear" w:color="auto" w:fill="auto"/>
              <w:tabs>
                <w:tab w:val="clear" w:pos="426"/>
              </w:tabs>
              <w:adjustRightInd/>
              <w:snapToGrid/>
              <w:spacing w:line="240" w:lineRule="auto"/>
              <w:jc w:val="left"/>
              <w:rPr>
                <w:rFonts w:hAnsi="宋体" w:cs="仿宋"/>
                <w:kern w:val="2"/>
                <w:szCs w:val="21"/>
              </w:rPr>
            </w:pPr>
            <w:r>
              <w:rPr>
                <w:rFonts w:hint="eastAsia" w:hAnsi="宋体" w:cs="仿宋"/>
                <w:kern w:val="2"/>
                <w:szCs w:val="21"/>
              </w:rPr>
              <w:t>投标人在参与政府采购活动中存在诚信相关问题被记入诚信档案的情形（被禁止参与政府采购活动除外）且在主管部门相关处理措施实施期限内的，本项不得分，否则得满分。投标人无需提供任何证明材料，由工作人员向评审委员会提供相关信息。</w:t>
            </w:r>
          </w:p>
        </w:tc>
      </w:tr>
    </w:tbl>
    <w:p>
      <w:pPr>
        <w:tabs>
          <w:tab w:val="clear" w:pos="426"/>
        </w:tabs>
        <w:spacing w:line="240" w:lineRule="auto"/>
      </w:pPr>
      <w:r>
        <w:rPr>
          <w:rFonts w:hint="eastAsia"/>
        </w:rPr>
        <w:t>备注：</w:t>
      </w:r>
    </w:p>
    <w:p>
      <w:pPr>
        <w:tabs>
          <w:tab w:val="clear" w:pos="426"/>
        </w:tabs>
        <w:spacing w:line="240" w:lineRule="auto"/>
        <w:ind w:firstLine="420" w:firstLineChars="200"/>
      </w:pPr>
      <w:r>
        <w:t xml:space="preserve">1. </w:t>
      </w:r>
      <w:r>
        <w:rPr>
          <w:rFonts w:hint="eastAsia"/>
        </w:rPr>
        <w:t>缺项则该项为</w:t>
      </w:r>
      <w:r>
        <w:t>0</w:t>
      </w:r>
      <w:r>
        <w:rPr>
          <w:rFonts w:hint="eastAsia"/>
        </w:rPr>
        <w:t>分或不合格为</w:t>
      </w:r>
      <w:r>
        <w:t>0</w:t>
      </w:r>
      <w:r>
        <w:rPr>
          <w:rFonts w:hint="eastAsia"/>
        </w:rPr>
        <w:t>分。</w:t>
      </w:r>
    </w:p>
    <w:p>
      <w:pPr>
        <w:tabs>
          <w:tab w:val="clear" w:pos="426"/>
        </w:tabs>
        <w:spacing w:line="240" w:lineRule="auto"/>
        <w:ind w:firstLine="420" w:firstLineChars="200"/>
      </w:pPr>
      <w:r>
        <w:t xml:space="preserve">2. </w:t>
      </w:r>
      <w:r>
        <w:rPr>
          <w:rFonts w:hint="eastAsia"/>
        </w:rPr>
        <w:t>价格、技术、商务部分为针对项目具体情况设置项目，累加满分为</w:t>
      </w:r>
      <w:r>
        <w:t>100</w:t>
      </w:r>
      <w:r>
        <w:rPr>
          <w:rFonts w:hint="eastAsia"/>
        </w:rPr>
        <w:t>分，固定额外加分部分为固定设置项，对涉及政策导向优先采购产品进行额外加分。</w:t>
      </w:r>
    </w:p>
    <w:p>
      <w:pPr>
        <w:tabs>
          <w:tab w:val="clear" w:pos="426"/>
        </w:tabs>
        <w:spacing w:line="240" w:lineRule="auto"/>
        <w:ind w:firstLine="420" w:firstLineChars="200"/>
      </w:pPr>
      <w:r>
        <w:t xml:space="preserve">3. </w:t>
      </w:r>
      <w:r>
        <w:rPr>
          <w:rFonts w:hint="eastAsia"/>
        </w:rPr>
        <w:t>综合以上分析比较，评委会将对各投标文件进行书面的量化评定，得分精确到小数点后两位。</w:t>
      </w:r>
    </w:p>
    <w:p>
      <w:pPr>
        <w:tabs>
          <w:tab w:val="clear" w:pos="426"/>
        </w:tabs>
        <w:spacing w:line="240" w:lineRule="auto"/>
        <w:ind w:firstLine="420" w:firstLineChars="200"/>
        <w:rPr>
          <w:bCs/>
        </w:rPr>
      </w:pPr>
      <w:r>
        <w:rPr>
          <w:bCs/>
        </w:rPr>
        <w:t xml:space="preserve">4. </w:t>
      </w:r>
      <w:r>
        <w:rPr>
          <w:rFonts w:hint="eastAsia"/>
          <w:bCs/>
        </w:rPr>
        <w:t>客观评分项，所有评审专家应当统一打分分值；主观评分项，评审专家应当按照打分标准独立打分。</w:t>
      </w:r>
      <w:bookmarkEnd w:id="8"/>
      <w:r>
        <w:rPr>
          <w:bCs/>
        </w:rPr>
        <w:br w:type="page"/>
      </w:r>
    </w:p>
    <w:p>
      <w:pPr>
        <w:pStyle w:val="81"/>
        <w:tabs>
          <w:tab w:val="clear" w:pos="426"/>
        </w:tabs>
        <w:ind w:firstLine="727"/>
      </w:pPr>
      <w:bookmarkStart w:id="10" w:name="_Toc120892131"/>
      <w:r>
        <w:rPr>
          <w:rFonts w:hint="eastAsia"/>
        </w:rPr>
        <w:t>第一册</w:t>
      </w:r>
      <w:r>
        <w:t xml:space="preserve">  </w:t>
      </w:r>
      <w:r>
        <w:rPr>
          <w:rFonts w:hint="eastAsia"/>
        </w:rPr>
        <w:t>专用条款</w:t>
      </w:r>
      <w:bookmarkEnd w:id="9"/>
      <w:bookmarkEnd w:id="10"/>
    </w:p>
    <w:p>
      <w:pPr>
        <w:pStyle w:val="62"/>
        <w:tabs>
          <w:tab w:val="clear" w:pos="426"/>
        </w:tabs>
        <w:ind w:firstLine="566"/>
      </w:pPr>
      <w:bookmarkStart w:id="11" w:name="_Toc432592813"/>
      <w:bookmarkStart w:id="12" w:name="_Toc265483798"/>
      <w:bookmarkStart w:id="13" w:name="_Toc120892132"/>
      <w:r>
        <w:rPr>
          <w:rFonts w:hint="eastAsia"/>
        </w:rPr>
        <w:t>第一章</w:t>
      </w:r>
      <w:r>
        <w:t xml:space="preserve"> </w:t>
      </w:r>
      <w:r>
        <w:rPr>
          <w:rFonts w:hint="eastAsia"/>
        </w:rPr>
        <w:t>招标公告</w:t>
      </w:r>
      <w:bookmarkEnd w:id="11"/>
      <w:bookmarkEnd w:id="12"/>
      <w:bookmarkEnd w:id="13"/>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ind w:firstLine="420" w:firstLineChars="200"/>
        <w:rPr>
          <w:rFonts w:cs="Times New Roman"/>
          <w:kern w:val="2"/>
          <w:szCs w:val="21"/>
        </w:rPr>
      </w:pPr>
      <w:bookmarkStart w:id="14" w:name="_Hlk10792834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u w:val="single"/>
        </w:rPr>
        <w:t>广东省深圳市宝安区消防救援大队2024年食堂配菜服务采购项目（A/B/C包）</w:t>
      </w:r>
      <w:r>
        <w:rPr>
          <w:rFonts w:hint="eastAsia" w:cs="Times New Roman"/>
          <w:kern w:val="2"/>
          <w:szCs w:val="21"/>
        </w:rPr>
        <w:t>招标项目的潜在投标人应在</w:t>
      </w:r>
      <w:r>
        <w:rPr>
          <w:rFonts w:hint="eastAsia" w:cs="Times New Roman"/>
          <w:kern w:val="2"/>
          <w:szCs w:val="21"/>
          <w:u w:val="single"/>
        </w:rPr>
        <w:t>深圳市罗湖区清水河街道清水河社区清水河一路112号罗湖投资控股大厦裙楼401</w:t>
      </w:r>
      <w:r>
        <w:rPr>
          <w:rFonts w:hint="eastAsia" w:cs="Times New Roman"/>
          <w:kern w:val="2"/>
          <w:szCs w:val="21"/>
        </w:rPr>
        <w:t>获取招标文件，并于</w:t>
      </w:r>
      <w:r>
        <w:rPr>
          <w:rFonts w:cs="Times New Roman"/>
          <w:kern w:val="2"/>
          <w:szCs w:val="21"/>
          <w:u w:val="single"/>
        </w:rPr>
        <w:t>2024年</w:t>
      </w:r>
      <w:r>
        <w:rPr>
          <w:rFonts w:hint="eastAsia" w:cs="Times New Roman"/>
          <w:kern w:val="2"/>
          <w:szCs w:val="21"/>
          <w:u w:val="single"/>
        </w:rPr>
        <w:t>0</w:t>
      </w:r>
      <w:r>
        <w:rPr>
          <w:rFonts w:cs="Times New Roman"/>
          <w:kern w:val="2"/>
          <w:szCs w:val="21"/>
          <w:u w:val="single"/>
        </w:rPr>
        <w:t>6</w:t>
      </w:r>
      <w:r>
        <w:rPr>
          <w:rFonts w:hint="eastAsia" w:cs="Times New Roman"/>
          <w:kern w:val="2"/>
          <w:szCs w:val="21"/>
          <w:u w:val="single"/>
        </w:rPr>
        <w:t>月</w:t>
      </w:r>
      <w:r>
        <w:rPr>
          <w:rFonts w:hint="eastAsia" w:cs="Times New Roman"/>
          <w:kern w:val="2"/>
          <w:szCs w:val="21"/>
          <w:u w:val="single"/>
          <w:lang w:val="en-US" w:eastAsia="zh-CN"/>
        </w:rPr>
        <w:t>27</w:t>
      </w:r>
      <w:r>
        <w:rPr>
          <w:rFonts w:hint="eastAsia" w:cs="Times New Roman"/>
          <w:kern w:val="2"/>
          <w:szCs w:val="21"/>
          <w:u w:val="single"/>
        </w:rPr>
        <w:t>日</w:t>
      </w:r>
      <w:r>
        <w:rPr>
          <w:rFonts w:cs="Times New Roman"/>
          <w:bCs/>
          <w:kern w:val="2"/>
          <w:szCs w:val="21"/>
          <w:u w:val="single"/>
        </w:rPr>
        <w:t>10</w:t>
      </w:r>
      <w:r>
        <w:rPr>
          <w:rFonts w:hint="eastAsia" w:cs="Times New Roman"/>
          <w:bCs/>
          <w:kern w:val="2"/>
          <w:szCs w:val="21"/>
          <w:u w:val="single"/>
        </w:rPr>
        <w:t>点</w:t>
      </w:r>
      <w:r>
        <w:rPr>
          <w:rFonts w:cs="Times New Roman"/>
          <w:bCs/>
          <w:kern w:val="2"/>
          <w:szCs w:val="21"/>
          <w:u w:val="single"/>
        </w:rPr>
        <w:t>00</w:t>
      </w:r>
      <w:r>
        <w:rPr>
          <w:rFonts w:hint="eastAsia" w:cs="Times New Roman"/>
          <w:bCs/>
          <w:kern w:val="2"/>
          <w:szCs w:val="21"/>
          <w:u w:val="single"/>
        </w:rPr>
        <w:t>分（</w:t>
      </w:r>
      <w:r>
        <w:rPr>
          <w:rFonts w:hint="eastAsia" w:cs="Times New Roman"/>
          <w:bCs/>
          <w:kern w:val="2"/>
          <w:szCs w:val="21"/>
        </w:rPr>
        <w:t>北京时间）前递交投标文件</w:t>
      </w:r>
      <w:r>
        <w:rPr>
          <w:rFonts w:hint="eastAsia" w:cs="Times New Roman"/>
          <w:kern w:val="2"/>
          <w:szCs w:val="21"/>
        </w:rPr>
        <w:t>。</w:t>
      </w:r>
    </w:p>
    <w:p>
      <w:pPr>
        <w:widowControl w:val="0"/>
        <w:shd w:val="clear" w:color="auto" w:fill="auto"/>
        <w:tabs>
          <w:tab w:val="clear" w:pos="426"/>
        </w:tabs>
        <w:adjustRightInd/>
        <w:snapToGrid/>
        <w:rPr>
          <w:rFonts w:cs="Times New Roman"/>
          <w:kern w:val="2"/>
          <w:szCs w:val="21"/>
        </w:rPr>
      </w:pPr>
    </w:p>
    <w:p>
      <w:pPr>
        <w:widowControl w:val="0"/>
        <w:shd w:val="clear" w:color="auto" w:fill="auto"/>
        <w:tabs>
          <w:tab w:val="clear" w:pos="426"/>
        </w:tabs>
        <w:adjustRightInd/>
        <w:snapToGrid/>
        <w:jc w:val="left"/>
        <w:rPr>
          <w:rFonts w:cs="Times New Roman"/>
          <w:b/>
          <w:bCs/>
          <w:kern w:val="2"/>
          <w:szCs w:val="21"/>
        </w:rPr>
      </w:pPr>
      <w:bookmarkStart w:id="15" w:name="_Toc28359002"/>
      <w:bookmarkStart w:id="16" w:name="_Toc35393790"/>
      <w:bookmarkStart w:id="17" w:name="_Toc28359079"/>
      <w:bookmarkStart w:id="18" w:name="_Toc120892133"/>
      <w:bookmarkStart w:id="19" w:name="_Toc35393621"/>
      <w:bookmarkStart w:id="20" w:name="_Hlk24379207"/>
      <w:r>
        <w:rPr>
          <w:rFonts w:hint="eastAsia" w:cs="Times New Roman"/>
          <w:b/>
          <w:bCs/>
          <w:kern w:val="2"/>
          <w:szCs w:val="21"/>
        </w:rPr>
        <w:t>一、项目基本情况</w:t>
      </w:r>
      <w:bookmarkEnd w:id="15"/>
      <w:bookmarkEnd w:id="16"/>
      <w:bookmarkEnd w:id="17"/>
      <w:bookmarkEnd w:id="18"/>
      <w:bookmarkEnd w:id="19"/>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项目编号：</w:t>
      </w:r>
      <w:r>
        <w:rPr>
          <w:rFonts w:cs="Times New Roman"/>
          <w:kern w:val="2"/>
          <w:szCs w:val="21"/>
        </w:rPr>
        <w:t>SSZX2024-152</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项目名称：广东省深圳市宝安区消防救援大队2024年食堂配菜服务采购项目（A/B/C包）</w:t>
      </w:r>
    </w:p>
    <w:bookmarkEnd w:id="20"/>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预算金额：</w:t>
      </w:r>
      <w:r>
        <w:rPr>
          <w:rFonts w:hint="eastAsia"/>
          <w:szCs w:val="21"/>
        </w:rPr>
        <w:t>4873.590000万元（人民币）</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采购需求：</w:t>
      </w:r>
    </w:p>
    <w:tbl>
      <w:tblPr>
        <w:tblStyle w:val="85"/>
        <w:tblW w:w="48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4"/>
        <w:gridCol w:w="1176"/>
        <w:gridCol w:w="862"/>
        <w:gridCol w:w="863"/>
        <w:gridCol w:w="2701"/>
        <w:gridCol w:w="1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7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包号</w:t>
            </w:r>
          </w:p>
        </w:tc>
        <w:tc>
          <w:tcPr>
            <w:tcW w:w="71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标的名称</w:t>
            </w:r>
          </w:p>
        </w:tc>
        <w:tc>
          <w:tcPr>
            <w:tcW w:w="5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数量</w:t>
            </w:r>
          </w:p>
        </w:tc>
        <w:tc>
          <w:tcPr>
            <w:tcW w:w="52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单位</w:t>
            </w:r>
          </w:p>
        </w:tc>
        <w:tc>
          <w:tcPr>
            <w:tcW w:w="164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Ansi="宋体"/>
                <w:szCs w:val="21"/>
              </w:rPr>
              <w:t>简要技术需求（服务需求）</w:t>
            </w:r>
          </w:p>
        </w:tc>
        <w:tc>
          <w:tcPr>
            <w:tcW w:w="11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预算金额（万元）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Ansi="宋体"/>
                <w:szCs w:val="21"/>
              </w:rPr>
              <w:t>A</w:t>
            </w:r>
            <w:r>
              <w:rPr>
                <w:rFonts w:hint="eastAsia" w:hAnsi="宋体"/>
                <w:szCs w:val="21"/>
              </w:rPr>
              <w:t>包</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餐饮服务</w:t>
            </w:r>
          </w:p>
        </w:tc>
        <w:tc>
          <w:tcPr>
            <w:tcW w:w="524"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w:t>
            </w:r>
          </w:p>
        </w:tc>
        <w:tc>
          <w:tcPr>
            <w:tcW w:w="525"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项</w:t>
            </w:r>
          </w:p>
        </w:tc>
        <w:tc>
          <w:tcPr>
            <w:tcW w:w="1642" w:type="pct"/>
            <w:tcBorders>
              <w:top w:val="single" w:color="auto" w:sz="4" w:space="0"/>
              <w:left w:val="single" w:color="auto" w:sz="4" w:space="0"/>
              <w:bottom w:val="single" w:color="auto" w:sz="4" w:space="0"/>
              <w:right w:val="single" w:color="auto" w:sz="4" w:space="0"/>
            </w:tcBorders>
            <w:vAlign w:val="center"/>
          </w:tcPr>
          <w:p>
            <w:pPr>
              <w:pStyle w:val="411"/>
              <w:rPr>
                <w:rFonts w:hAnsi="宋体"/>
                <w:szCs w:val="21"/>
              </w:rPr>
            </w:pPr>
            <w:r>
              <w:rPr>
                <w:rFonts w:hint="eastAsia" w:hAnsi="宋体"/>
                <w:szCs w:val="21"/>
              </w:rPr>
              <w:t>配送范围为沙井消防救援站、松岗消防救援站及下属队站共计55个食堂，总人数1058人，按49元/人/天的标准执行，节日加菜费按1200元/人/年。</w:t>
            </w:r>
          </w:p>
        </w:tc>
        <w:tc>
          <w:tcPr>
            <w:tcW w:w="11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cs="Times New Roman"/>
                <w:kern w:val="2"/>
                <w:szCs w:val="21"/>
              </w:rPr>
              <w:t>2040</w:t>
            </w:r>
            <w:r>
              <w:rPr>
                <w:rFonts w:hint="eastAsia" w:cs="Times New Roman"/>
                <w:kern w:val="2"/>
                <w:szCs w:val="21"/>
              </w:rPr>
              <w:t>.</w:t>
            </w:r>
            <w:r>
              <w:rPr>
                <w:rFonts w:cs="Times New Roman"/>
                <w:kern w:val="2"/>
                <w:szCs w:val="21"/>
              </w:rPr>
              <w:t>890000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Ansi="宋体"/>
                <w:bCs/>
                <w:szCs w:val="21"/>
              </w:rPr>
            </w:pPr>
            <w:r>
              <w:rPr>
                <w:rFonts w:hAnsi="宋体"/>
                <w:bCs/>
                <w:szCs w:val="21"/>
              </w:rPr>
              <w:t>B</w:t>
            </w:r>
            <w:r>
              <w:rPr>
                <w:rFonts w:hint="eastAsia" w:hAnsi="宋体"/>
                <w:szCs w:val="21"/>
              </w:rPr>
              <w:t>包</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餐饮服务</w:t>
            </w:r>
          </w:p>
        </w:tc>
        <w:tc>
          <w:tcPr>
            <w:tcW w:w="524"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w:t>
            </w:r>
          </w:p>
        </w:tc>
        <w:tc>
          <w:tcPr>
            <w:tcW w:w="525"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项</w:t>
            </w:r>
          </w:p>
        </w:tc>
        <w:tc>
          <w:tcPr>
            <w:tcW w:w="1642" w:type="pct"/>
            <w:tcBorders>
              <w:top w:val="single" w:color="auto" w:sz="4" w:space="0"/>
              <w:left w:val="single" w:color="auto" w:sz="4" w:space="0"/>
              <w:bottom w:val="single" w:color="auto" w:sz="4" w:space="0"/>
              <w:right w:val="single" w:color="auto" w:sz="4" w:space="0"/>
            </w:tcBorders>
            <w:vAlign w:val="center"/>
          </w:tcPr>
          <w:p>
            <w:pPr>
              <w:pStyle w:val="411"/>
              <w:rPr>
                <w:rFonts w:hAnsi="宋体"/>
                <w:szCs w:val="21"/>
              </w:rPr>
            </w:pPr>
            <w:r>
              <w:rPr>
                <w:rFonts w:hint="eastAsia" w:hAnsi="宋体"/>
                <w:szCs w:val="21"/>
              </w:rPr>
              <w:t>配送范围为大队部、西乡消防救援站、福永消防救援站及下属队站共计38个食堂，总人数862人，按49元/人/天的标准执行，节日加菜费按1200元/人/年。</w:t>
            </w:r>
          </w:p>
        </w:tc>
        <w:tc>
          <w:tcPr>
            <w:tcW w:w="11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cs="Times New Roman"/>
                <w:kern w:val="2"/>
                <w:szCs w:val="21"/>
              </w:rPr>
              <w:t>1547.180000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Ansi="宋体"/>
                <w:bCs/>
                <w:szCs w:val="21"/>
              </w:rPr>
            </w:pPr>
            <w:r>
              <w:rPr>
                <w:rFonts w:hint="eastAsia" w:hAnsi="宋体"/>
                <w:bCs/>
                <w:szCs w:val="21"/>
              </w:rPr>
              <w:t>C包</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餐饮服务</w:t>
            </w:r>
          </w:p>
        </w:tc>
        <w:tc>
          <w:tcPr>
            <w:tcW w:w="524"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w:t>
            </w:r>
          </w:p>
        </w:tc>
        <w:tc>
          <w:tcPr>
            <w:tcW w:w="525"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项</w:t>
            </w:r>
          </w:p>
        </w:tc>
        <w:tc>
          <w:tcPr>
            <w:tcW w:w="1642" w:type="pct"/>
            <w:tcBorders>
              <w:top w:val="single" w:color="auto" w:sz="4" w:space="0"/>
              <w:left w:val="single" w:color="auto" w:sz="4" w:space="0"/>
              <w:bottom w:val="single" w:color="auto" w:sz="4" w:space="0"/>
              <w:right w:val="single" w:color="auto" w:sz="4" w:space="0"/>
            </w:tcBorders>
            <w:vAlign w:val="center"/>
          </w:tcPr>
          <w:p>
            <w:pPr>
              <w:pStyle w:val="411"/>
              <w:rPr>
                <w:rFonts w:hAnsi="宋体"/>
                <w:szCs w:val="21"/>
              </w:rPr>
            </w:pPr>
            <w:r>
              <w:rPr>
                <w:rFonts w:hint="eastAsia" w:hAnsi="宋体"/>
                <w:szCs w:val="21"/>
              </w:rPr>
              <w:t>配送范围为宝安消防救援站、石岩消防救援站及下属队站共计27个食堂，总人数640人，按49元/人/天的标准执行，节日加菜费按1200元/人/年。</w:t>
            </w:r>
          </w:p>
        </w:tc>
        <w:tc>
          <w:tcPr>
            <w:tcW w:w="11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cs="Times New Roman"/>
                <w:kern w:val="2"/>
                <w:szCs w:val="21"/>
              </w:rPr>
              <w:t>1285.520000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4"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合计</w:t>
            </w:r>
          </w:p>
        </w:tc>
        <w:tc>
          <w:tcPr>
            <w:tcW w:w="11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szCs w:val="21"/>
              </w:rPr>
              <w:t>4873</w:t>
            </w:r>
            <w:r>
              <w:rPr>
                <w:szCs w:val="21"/>
              </w:rPr>
              <w:t>.</w:t>
            </w:r>
            <w:r>
              <w:rPr>
                <w:rFonts w:hint="eastAsia"/>
                <w:szCs w:val="21"/>
              </w:rPr>
              <w:t>590000</w:t>
            </w:r>
          </w:p>
        </w:tc>
      </w:tr>
    </w:tbl>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合同履行期限：合同签订后一年。</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本项目(不接受)联合体投标。</w:t>
      </w:r>
    </w:p>
    <w:p>
      <w:pPr>
        <w:widowControl w:val="0"/>
        <w:shd w:val="clear" w:color="auto" w:fill="auto"/>
        <w:tabs>
          <w:tab w:val="clear" w:pos="426"/>
        </w:tabs>
        <w:adjustRightInd/>
        <w:snapToGrid/>
        <w:ind w:firstLine="424"/>
        <w:jc w:val="left"/>
        <w:rPr>
          <w:rFonts w:cs="Times New Roman"/>
          <w:b/>
          <w:bCs/>
          <w:kern w:val="2"/>
          <w:szCs w:val="21"/>
        </w:rPr>
      </w:pPr>
      <w:bookmarkStart w:id="21" w:name="_Toc35393622"/>
      <w:bookmarkStart w:id="22" w:name="_Toc28359003"/>
      <w:bookmarkStart w:id="23" w:name="_Toc35393791"/>
      <w:bookmarkStart w:id="24" w:name="_Toc120892134"/>
      <w:bookmarkStart w:id="25" w:name="_Toc28359080"/>
    </w:p>
    <w:p>
      <w:pPr>
        <w:widowControl w:val="0"/>
        <w:shd w:val="clear" w:color="auto" w:fill="auto"/>
        <w:tabs>
          <w:tab w:val="clear" w:pos="426"/>
        </w:tabs>
        <w:adjustRightInd/>
        <w:snapToGrid/>
        <w:jc w:val="left"/>
        <w:rPr>
          <w:rFonts w:cs="Times New Roman"/>
          <w:b/>
          <w:bCs/>
          <w:kern w:val="2"/>
          <w:szCs w:val="21"/>
        </w:rPr>
      </w:pPr>
      <w:r>
        <w:rPr>
          <w:rFonts w:hint="eastAsia" w:cs="Times New Roman"/>
          <w:b/>
          <w:bCs/>
          <w:kern w:val="2"/>
          <w:szCs w:val="21"/>
        </w:rPr>
        <w:t>二、申请人的资格要求：</w:t>
      </w:r>
      <w:bookmarkEnd w:id="21"/>
      <w:bookmarkEnd w:id="22"/>
      <w:bookmarkEnd w:id="23"/>
      <w:bookmarkEnd w:id="24"/>
      <w:bookmarkEnd w:id="25"/>
    </w:p>
    <w:p>
      <w:pPr>
        <w:widowControl w:val="0"/>
        <w:shd w:val="clear" w:color="auto" w:fill="auto"/>
        <w:tabs>
          <w:tab w:val="clear" w:pos="426"/>
        </w:tabs>
        <w:adjustRightInd/>
        <w:snapToGrid/>
        <w:ind w:firstLine="420" w:firstLineChars="200"/>
        <w:rPr>
          <w:rFonts w:cs="Times New Roman"/>
          <w:kern w:val="2"/>
          <w:szCs w:val="21"/>
        </w:rPr>
      </w:pPr>
      <w:bookmarkStart w:id="26" w:name="_Toc28359004"/>
      <w:bookmarkStart w:id="27" w:name="_Toc28359081"/>
      <w:r>
        <w:rPr>
          <w:rFonts w:hint="eastAsia" w:cs="Times New Roman"/>
          <w:kern w:val="2"/>
          <w:szCs w:val="21"/>
        </w:rPr>
        <w:t>1.满足《中华人民共和国政府采购法》第二十二条规定；</w:t>
      </w:r>
    </w:p>
    <w:p>
      <w:pPr>
        <w:widowControl w:val="0"/>
        <w:shd w:val="clear" w:color="auto" w:fill="auto"/>
        <w:tabs>
          <w:tab w:val="clear" w:pos="426"/>
        </w:tabs>
        <w:adjustRightInd/>
        <w:snapToGrid/>
        <w:ind w:firstLine="420" w:firstLineChars="200"/>
        <w:rPr>
          <w:rFonts w:cs="Times New Roman"/>
          <w:kern w:val="2"/>
          <w:szCs w:val="21"/>
        </w:rPr>
      </w:pPr>
      <w:bookmarkStart w:id="28" w:name="_Hlk141433537"/>
      <w:r>
        <w:rPr>
          <w:rFonts w:hint="eastAsia" w:cs="Times New Roman"/>
          <w:kern w:val="2"/>
          <w:szCs w:val="21"/>
        </w:rPr>
        <w:t>2.落实政府采购政策需满足的资格要求：</w:t>
      </w:r>
      <w:bookmarkEnd w:id="28"/>
      <w:r>
        <w:rPr>
          <w:rFonts w:hint="eastAsia" w:cs="Times New Roman"/>
          <w:kern w:val="2"/>
          <w:szCs w:val="21"/>
        </w:rPr>
        <w:t>本项目为非专门面向中小企业采购项目。</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3.本项目的特定资格要求：</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（1）具有独立法人资格或具有独立承担民事责任的能力的其它组织（提供营业执照或事业单位法人证等法人证明复印件并加盖投标人公章，原件备查）。</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（2）本项目不接受投标人选用进口产品参与投标。</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w:t>
      </w:r>
      <w:r>
        <w:rPr>
          <w:rFonts w:cs="Times New Roman"/>
          <w:kern w:val="2"/>
          <w:szCs w:val="21"/>
        </w:rPr>
        <w:t>3</w:t>
      </w:r>
      <w:r>
        <w:rPr>
          <w:rFonts w:hint="eastAsia" w:cs="Times New Roman"/>
          <w:kern w:val="2"/>
          <w:szCs w:val="21"/>
        </w:rPr>
        <w:t>）具备《中华人民共和国政府采购法》第二十二条第一款的条件（由供应商在《政府采购投标及履约承诺函》中作出声明）。</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w:t>
      </w:r>
      <w:r>
        <w:rPr>
          <w:rFonts w:cs="Times New Roman"/>
          <w:kern w:val="2"/>
          <w:szCs w:val="21"/>
        </w:rPr>
        <w:t>4</w:t>
      </w:r>
      <w:r>
        <w:rPr>
          <w:rFonts w:hint="eastAsia" w:cs="Times New Roman"/>
          <w:kern w:val="2"/>
          <w:szCs w:val="21"/>
        </w:rPr>
        <w:t>）参加政府采购活动前三年内，在经营活动中没有重大违法记录（由供应商在《政府采购投标及履约承诺函》中作出声明）。</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（5）参与本项目政府采购活动时不存在被有关部门禁止参与政府采购活动且在有效期内的情况（由供应商在《政府采购投标及履约承诺函》中作出声明）。</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（6）未被列入失信被执行人、重大税收违法失信主体、政府采购严重违法失信行为记录名单</w:t>
      </w:r>
      <w:bookmarkStart w:id="29" w:name="_Hlk141432637"/>
      <w:r>
        <w:rPr>
          <w:rFonts w:hint="eastAsia" w:cs="Times New Roman"/>
          <w:kern w:val="2"/>
          <w:szCs w:val="21"/>
        </w:rPr>
        <w:t>（由供应商在《政府采购投标及履约承诺函》中作出声明）</w:t>
      </w:r>
      <w:bookmarkEnd w:id="29"/>
      <w:r>
        <w:rPr>
          <w:rFonts w:hint="eastAsia" w:cs="Times New Roman"/>
          <w:kern w:val="2"/>
          <w:szCs w:val="21"/>
        </w:rPr>
        <w:t>。【注：采购代理机构将通过“信用中国”中“信用服务”栏的“重大税收违法失信主体”“失信被执行人”、“中国政府采购网”中的“政府采购严重违法失信行为记录名单”查询供应商的信用信息，相关信息以开标当日的查询结果为准。信用信息查询记录将作为项目档案材料一并保存。】</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w:t>
      </w:r>
      <w:r>
        <w:rPr>
          <w:rFonts w:cs="Times New Roman"/>
          <w:kern w:val="2"/>
          <w:szCs w:val="21"/>
        </w:rPr>
        <w:t>7</w:t>
      </w:r>
      <w:r>
        <w:rPr>
          <w:rFonts w:hint="eastAsia" w:cs="Times New Roman"/>
          <w:kern w:val="2"/>
          <w:szCs w:val="21"/>
        </w:rPr>
        <w:t>）单位负责人为同一人或者存在直接控股、管理关系的不同供应商，不得参加同一合同项下的政府采购活动（由供应商在《政府采购投标及履约承诺函》中作出声明）。</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w:t>
      </w:r>
      <w:r>
        <w:rPr>
          <w:rFonts w:cs="Times New Roman"/>
          <w:kern w:val="2"/>
          <w:szCs w:val="21"/>
        </w:rPr>
        <w:t>8</w:t>
      </w:r>
      <w:r>
        <w:rPr>
          <w:rFonts w:hint="eastAsia" w:cs="Times New Roman"/>
          <w:kern w:val="2"/>
          <w:szCs w:val="21"/>
        </w:rPr>
        <w:t>）未参与本采购项目的整体设计、规范编制或者项目管理、监理、检测等服务（由供应商在《政府采购投标及履约承诺函》中作出声明）。</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w:t>
      </w:r>
      <w:r>
        <w:rPr>
          <w:rFonts w:cs="Times New Roman"/>
          <w:kern w:val="2"/>
          <w:szCs w:val="21"/>
        </w:rPr>
        <w:t>9</w:t>
      </w:r>
      <w:r>
        <w:rPr>
          <w:rFonts w:hint="eastAsia" w:cs="Times New Roman"/>
          <w:kern w:val="2"/>
          <w:szCs w:val="21"/>
        </w:rPr>
        <w:t>）投标人需具有食品药品监督管理部门（或市场监督管理部门）颁发的有效《食品经营许可证》或仅销售预包装食品单位备案证明（提供相关证明材料复印件加盖投标人公章，原件备查。）</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w:t>
      </w:r>
      <w:r>
        <w:rPr>
          <w:rFonts w:hint="eastAsia" w:cs="Times New Roman"/>
          <w:kern w:val="2"/>
          <w:szCs w:val="21"/>
          <w:lang w:val="en-US" w:eastAsia="zh-CN"/>
        </w:rPr>
        <w:t>10</w:t>
      </w:r>
      <w:r>
        <w:rPr>
          <w:rFonts w:hint="eastAsia" w:cs="Times New Roman"/>
          <w:kern w:val="2"/>
          <w:szCs w:val="21"/>
        </w:rPr>
        <w:t>）本项目不接受以联合体形式进行投标，不允许转包。</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w:t>
      </w:r>
      <w:r>
        <w:rPr>
          <w:rFonts w:hint="eastAsia" w:cs="Times New Roman"/>
          <w:kern w:val="2"/>
          <w:szCs w:val="21"/>
          <w:lang w:val="en-US" w:eastAsia="zh-CN"/>
        </w:rPr>
        <w:t>11</w:t>
      </w:r>
      <w:r>
        <w:rPr>
          <w:rFonts w:hint="eastAsia" w:cs="Times New Roman"/>
          <w:kern w:val="2"/>
          <w:szCs w:val="21"/>
        </w:rPr>
        <w:t>）根据《政府采购促进中小企业发展管理办法》（财库〔2020〕46号）：</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①若投标人不分包，须自身为小微企业，提供《中小企业声明函》（详见招标文件格式内容，并加盖投标人公章）。</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②若投标人自身为中型或大型企业，须将本项目非主体、非关键性服务内容分包，且需满足：本项目预留部分份额专门面向中小微企业采购，要求中小微企业承担的比例不低于合同总额的30%，其中预留给小微企业承担的比例不低于60%。分包承担主体不多于3家，且分包承担主体不得再次分包，须提供《分包意向协议》（格式仅供参考，需加盖投标人与各分包承担主体的公章，并在协议中明确各方的合同金额比例，要求由中小微企业承担的合同金额比例符合预留份额的比例要求），且须提供《中小企业声明函》（详见招标文件格式内容，并加盖投标人公章）。</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注：接受分包合同的中小企业与分包企业之间不得存在直接控股、管理关系，且在同一项目中不得接受两个或以上包组中标企业的分包。残疾人福利性单位或监狱企业视同小型、微型企业，提供《残疾人福利性单位声明函》或由省级以上监狱管理局、戒毒管理局(含新疆生产建设兵团)出具的监狱企业证明文件，未提供声明函或声明函内容不符合中小企业声明函“填写指引”要求的做资格审查不通过处理。</w:t>
      </w:r>
    </w:p>
    <w:p>
      <w:pPr>
        <w:widowControl w:val="0"/>
        <w:shd w:val="clear" w:color="auto" w:fill="auto"/>
        <w:tabs>
          <w:tab w:val="clear" w:pos="426"/>
        </w:tabs>
        <w:adjustRightInd/>
        <w:snapToGrid/>
        <w:ind w:firstLine="420" w:firstLineChars="200"/>
        <w:rPr>
          <w:rFonts w:cs="Times New Roman"/>
          <w:kern w:val="2"/>
          <w:szCs w:val="21"/>
        </w:rPr>
      </w:pPr>
    </w:p>
    <w:p>
      <w:pPr>
        <w:widowControl w:val="0"/>
        <w:shd w:val="clear" w:color="auto" w:fill="auto"/>
        <w:tabs>
          <w:tab w:val="clear" w:pos="426"/>
        </w:tabs>
        <w:adjustRightInd/>
        <w:snapToGrid/>
        <w:jc w:val="left"/>
        <w:rPr>
          <w:rFonts w:cs="Times New Roman"/>
          <w:b/>
          <w:bCs/>
          <w:kern w:val="2"/>
          <w:szCs w:val="21"/>
        </w:rPr>
      </w:pPr>
      <w:bookmarkStart w:id="30" w:name="_Toc35393792"/>
      <w:bookmarkStart w:id="31" w:name="_Toc120892135"/>
      <w:bookmarkStart w:id="32" w:name="_Toc35393623"/>
      <w:r>
        <w:rPr>
          <w:rFonts w:hint="eastAsia" w:cs="Times New Roman"/>
          <w:b/>
          <w:bCs/>
          <w:kern w:val="2"/>
          <w:szCs w:val="21"/>
        </w:rPr>
        <w:t>三、获取招标文件</w:t>
      </w:r>
      <w:bookmarkEnd w:id="26"/>
      <w:bookmarkEnd w:id="27"/>
      <w:bookmarkEnd w:id="30"/>
      <w:bookmarkEnd w:id="31"/>
      <w:bookmarkEnd w:id="32"/>
    </w:p>
    <w:p>
      <w:pPr>
        <w:widowControl w:val="0"/>
        <w:shd w:val="clear" w:color="auto" w:fill="auto"/>
        <w:tabs>
          <w:tab w:val="clear" w:pos="426"/>
        </w:tabs>
        <w:adjustRightInd/>
        <w:snapToGrid/>
        <w:ind w:firstLine="426"/>
        <w:rPr>
          <w:kern w:val="2"/>
          <w:szCs w:val="21"/>
        </w:rPr>
      </w:pPr>
      <w:r>
        <w:rPr>
          <w:rFonts w:hint="eastAsia"/>
          <w:kern w:val="2"/>
          <w:szCs w:val="21"/>
        </w:rPr>
        <w:t>时间：</w:t>
      </w:r>
      <w:r>
        <w:rPr>
          <w:kern w:val="2"/>
          <w:szCs w:val="21"/>
          <w:u w:val="single"/>
        </w:rPr>
        <w:t>2024年</w:t>
      </w:r>
      <w:r>
        <w:rPr>
          <w:rFonts w:hint="eastAsia"/>
          <w:kern w:val="2"/>
          <w:szCs w:val="21"/>
          <w:u w:val="single"/>
        </w:rPr>
        <w:t>0</w:t>
      </w:r>
      <w:r>
        <w:rPr>
          <w:rFonts w:hint="eastAsia"/>
          <w:kern w:val="2"/>
          <w:szCs w:val="21"/>
          <w:u w:val="single"/>
          <w:lang w:val="en-US" w:eastAsia="zh-CN"/>
        </w:rPr>
        <w:t>6</w:t>
      </w:r>
      <w:r>
        <w:rPr>
          <w:rFonts w:hint="eastAsia"/>
          <w:kern w:val="2"/>
          <w:szCs w:val="21"/>
          <w:u w:val="single"/>
        </w:rPr>
        <w:t>月</w:t>
      </w:r>
      <w:r>
        <w:rPr>
          <w:rFonts w:hint="eastAsia"/>
          <w:kern w:val="2"/>
          <w:szCs w:val="21"/>
          <w:u w:val="single"/>
          <w:lang w:val="en-US" w:eastAsia="zh-CN"/>
        </w:rPr>
        <w:t>07</w:t>
      </w:r>
      <w:r>
        <w:rPr>
          <w:rFonts w:hint="eastAsia"/>
          <w:kern w:val="2"/>
          <w:szCs w:val="21"/>
          <w:u w:val="single"/>
        </w:rPr>
        <w:t>日至</w:t>
      </w:r>
      <w:r>
        <w:rPr>
          <w:kern w:val="2"/>
          <w:szCs w:val="21"/>
          <w:u w:val="single"/>
        </w:rPr>
        <w:t>2024年</w:t>
      </w:r>
      <w:r>
        <w:rPr>
          <w:rFonts w:hint="eastAsia"/>
          <w:kern w:val="2"/>
          <w:szCs w:val="21"/>
          <w:u w:val="single"/>
        </w:rPr>
        <w:t>0</w:t>
      </w:r>
      <w:r>
        <w:rPr>
          <w:kern w:val="2"/>
          <w:szCs w:val="21"/>
          <w:u w:val="single"/>
        </w:rPr>
        <w:t>6</w:t>
      </w:r>
      <w:r>
        <w:rPr>
          <w:rFonts w:hint="eastAsia"/>
          <w:kern w:val="2"/>
          <w:szCs w:val="21"/>
          <w:u w:val="single"/>
        </w:rPr>
        <w:t>月</w:t>
      </w:r>
      <w:r>
        <w:rPr>
          <w:rFonts w:hint="eastAsia"/>
          <w:kern w:val="2"/>
          <w:szCs w:val="21"/>
          <w:u w:val="single"/>
          <w:lang w:val="en-US" w:eastAsia="zh-CN"/>
        </w:rPr>
        <w:t>16</w:t>
      </w:r>
      <w:r>
        <w:rPr>
          <w:rFonts w:hint="eastAsia"/>
          <w:kern w:val="2"/>
          <w:szCs w:val="21"/>
          <w:u w:val="single"/>
        </w:rPr>
        <w:t>日</w:t>
      </w:r>
      <w:r>
        <w:rPr>
          <w:rFonts w:hint="eastAsia"/>
          <w:kern w:val="2"/>
          <w:szCs w:val="21"/>
        </w:rPr>
        <w:t>，每天上午</w:t>
      </w:r>
      <w:r>
        <w:rPr>
          <w:kern w:val="2"/>
          <w:szCs w:val="21"/>
          <w:u w:val="single"/>
        </w:rPr>
        <w:t>9:00</w:t>
      </w:r>
      <w:r>
        <w:rPr>
          <w:rFonts w:hint="eastAsia"/>
          <w:kern w:val="2"/>
          <w:szCs w:val="21"/>
        </w:rPr>
        <w:t>至</w:t>
      </w:r>
      <w:r>
        <w:rPr>
          <w:kern w:val="2"/>
          <w:szCs w:val="21"/>
          <w:u w:val="single"/>
        </w:rPr>
        <w:t>12:00</w:t>
      </w:r>
      <w:r>
        <w:rPr>
          <w:rFonts w:hint="eastAsia"/>
          <w:kern w:val="2"/>
          <w:szCs w:val="21"/>
        </w:rPr>
        <w:t>，下午</w:t>
      </w:r>
      <w:r>
        <w:rPr>
          <w:kern w:val="2"/>
          <w:szCs w:val="21"/>
          <w:u w:val="single"/>
        </w:rPr>
        <w:t>14:00</w:t>
      </w:r>
      <w:r>
        <w:rPr>
          <w:rFonts w:hint="eastAsia"/>
          <w:kern w:val="2"/>
          <w:szCs w:val="21"/>
        </w:rPr>
        <w:t>至</w:t>
      </w:r>
      <w:r>
        <w:rPr>
          <w:kern w:val="2"/>
          <w:szCs w:val="21"/>
          <w:u w:val="single"/>
        </w:rPr>
        <w:t>18:00</w:t>
      </w:r>
      <w:r>
        <w:rPr>
          <w:rFonts w:hint="eastAsia"/>
          <w:kern w:val="2"/>
          <w:szCs w:val="21"/>
        </w:rPr>
        <w:t>（北京时间，法定节假日除外）</w:t>
      </w:r>
    </w:p>
    <w:p>
      <w:pPr>
        <w:widowControl w:val="0"/>
        <w:shd w:val="clear" w:color="auto" w:fill="auto"/>
        <w:tabs>
          <w:tab w:val="clear" w:pos="426"/>
        </w:tabs>
        <w:adjustRightInd/>
        <w:snapToGrid/>
        <w:ind w:firstLine="426"/>
        <w:rPr>
          <w:kern w:val="2"/>
          <w:szCs w:val="21"/>
          <w:u w:val="single"/>
        </w:rPr>
      </w:pPr>
      <w:r>
        <w:rPr>
          <w:rFonts w:hint="eastAsia"/>
          <w:kern w:val="2"/>
          <w:szCs w:val="21"/>
        </w:rPr>
        <w:t>地点：</w:t>
      </w:r>
      <w:r>
        <w:rPr>
          <w:rFonts w:hint="eastAsia" w:cs="Times New Roman"/>
          <w:kern w:val="2"/>
          <w:szCs w:val="21"/>
        </w:rPr>
        <w:t>深圳市罗湖区清水河街道清水河社区清水河一路112号罗湖投资控股大厦裙楼401</w:t>
      </w:r>
    </w:p>
    <w:p>
      <w:pPr>
        <w:widowControl w:val="0"/>
        <w:shd w:val="clear" w:color="auto" w:fill="auto"/>
        <w:tabs>
          <w:tab w:val="clear" w:pos="426"/>
        </w:tabs>
        <w:adjustRightInd/>
        <w:snapToGrid/>
        <w:ind w:firstLine="426"/>
        <w:rPr>
          <w:kern w:val="2"/>
          <w:szCs w:val="21"/>
          <w:u w:val="single"/>
        </w:rPr>
      </w:pPr>
      <w:r>
        <w:rPr>
          <w:rFonts w:hint="eastAsia"/>
          <w:kern w:val="2"/>
          <w:szCs w:val="21"/>
        </w:rPr>
        <w:t>方式：现场购买。</w:t>
      </w:r>
    </w:p>
    <w:p>
      <w:pPr>
        <w:widowControl w:val="0"/>
        <w:shd w:val="clear" w:color="auto" w:fill="auto"/>
        <w:tabs>
          <w:tab w:val="clear" w:pos="426"/>
        </w:tabs>
        <w:adjustRightInd/>
        <w:snapToGrid/>
        <w:ind w:firstLine="426"/>
        <w:rPr>
          <w:kern w:val="2"/>
          <w:szCs w:val="21"/>
        </w:rPr>
      </w:pPr>
      <w:r>
        <w:rPr>
          <w:rFonts w:hint="eastAsia"/>
          <w:kern w:val="2"/>
          <w:szCs w:val="21"/>
        </w:rPr>
        <w:t>报名须提交：投标人的营业执照复印件；法人代表证明书原件、法人代表身份证复印件、授权委托书原件、被授权委托人身份证复印件、被授权委托人联系方式（电话、邮箱）。以上资料均需加盖公章，原件中标备查。</w:t>
      </w:r>
    </w:p>
    <w:p>
      <w:pPr>
        <w:widowControl w:val="0"/>
        <w:shd w:val="clear" w:color="auto" w:fill="auto"/>
        <w:tabs>
          <w:tab w:val="clear" w:pos="426"/>
        </w:tabs>
        <w:adjustRightInd/>
        <w:snapToGrid/>
        <w:ind w:firstLine="426"/>
        <w:rPr>
          <w:kern w:val="2"/>
          <w:szCs w:val="21"/>
        </w:rPr>
      </w:pPr>
      <w:r>
        <w:rPr>
          <w:rFonts w:hint="eastAsia"/>
          <w:kern w:val="2"/>
          <w:szCs w:val="21"/>
        </w:rPr>
        <w:t>售价：</w:t>
      </w:r>
      <w:r>
        <w:rPr>
          <w:kern w:val="2"/>
          <w:szCs w:val="21"/>
        </w:rPr>
        <w:t>500</w:t>
      </w:r>
      <w:r>
        <w:rPr>
          <w:rFonts w:hint="eastAsia"/>
          <w:kern w:val="2"/>
          <w:szCs w:val="21"/>
        </w:rPr>
        <w:t>元</w:t>
      </w:r>
      <w:r>
        <w:rPr>
          <w:kern w:val="2"/>
          <w:szCs w:val="21"/>
        </w:rPr>
        <w:t>/</w:t>
      </w:r>
      <w:r>
        <w:rPr>
          <w:rFonts w:hint="eastAsia"/>
          <w:kern w:val="2"/>
          <w:szCs w:val="21"/>
        </w:rPr>
        <w:t>份，本公告包含的招标文件售价总和</w:t>
      </w:r>
    </w:p>
    <w:p>
      <w:pPr>
        <w:widowControl w:val="0"/>
        <w:shd w:val="clear" w:color="auto" w:fill="auto"/>
        <w:tabs>
          <w:tab w:val="clear" w:pos="426"/>
        </w:tabs>
        <w:adjustRightInd/>
        <w:snapToGrid/>
        <w:ind w:firstLine="424"/>
        <w:jc w:val="left"/>
        <w:rPr>
          <w:rFonts w:cs="Times New Roman"/>
          <w:b/>
          <w:bCs/>
          <w:kern w:val="2"/>
          <w:szCs w:val="21"/>
        </w:rPr>
      </w:pPr>
      <w:bookmarkStart w:id="33" w:name="_Toc28359082"/>
      <w:bookmarkStart w:id="34" w:name="_Toc28359005"/>
      <w:bookmarkStart w:id="35" w:name="_Toc35393624"/>
      <w:bookmarkStart w:id="36" w:name="_Toc120892136"/>
      <w:bookmarkStart w:id="37" w:name="_Toc35393793"/>
    </w:p>
    <w:p>
      <w:pPr>
        <w:widowControl w:val="0"/>
        <w:shd w:val="clear" w:color="auto" w:fill="auto"/>
        <w:tabs>
          <w:tab w:val="clear" w:pos="426"/>
        </w:tabs>
        <w:adjustRightInd/>
        <w:snapToGrid/>
        <w:jc w:val="left"/>
        <w:rPr>
          <w:rFonts w:cs="Times New Roman"/>
          <w:b/>
          <w:bCs/>
          <w:kern w:val="2"/>
          <w:szCs w:val="21"/>
        </w:rPr>
      </w:pPr>
      <w:r>
        <w:rPr>
          <w:rFonts w:hint="eastAsia" w:cs="Times New Roman"/>
          <w:b/>
          <w:bCs/>
          <w:kern w:val="2"/>
          <w:szCs w:val="21"/>
        </w:rPr>
        <w:t>四、提交投标文件</w:t>
      </w:r>
      <w:bookmarkEnd w:id="33"/>
      <w:bookmarkEnd w:id="34"/>
      <w:r>
        <w:rPr>
          <w:rFonts w:hint="eastAsia" w:cs="Times New Roman"/>
          <w:b/>
          <w:bCs/>
          <w:kern w:val="2"/>
          <w:szCs w:val="21"/>
        </w:rPr>
        <w:t>截止时间、开标时间和地点</w:t>
      </w:r>
      <w:bookmarkEnd w:id="35"/>
      <w:bookmarkEnd w:id="36"/>
      <w:bookmarkEnd w:id="37"/>
    </w:p>
    <w:p>
      <w:pPr>
        <w:widowControl w:val="0"/>
        <w:shd w:val="clear" w:color="auto" w:fill="auto"/>
        <w:tabs>
          <w:tab w:val="clear" w:pos="426"/>
        </w:tabs>
        <w:adjustRightInd/>
        <w:snapToGrid/>
        <w:ind w:firstLine="420" w:firstLineChars="200"/>
        <w:rPr>
          <w:rFonts w:cs="Times New Roman"/>
          <w:bCs/>
          <w:kern w:val="2"/>
          <w:szCs w:val="21"/>
        </w:rPr>
      </w:pPr>
      <w:r>
        <w:rPr>
          <w:rFonts w:hint="eastAsia" w:cs="Times New Roman"/>
          <w:bCs/>
          <w:kern w:val="2"/>
          <w:szCs w:val="21"/>
        </w:rPr>
        <w:t>提交投标文件截止时间：</w:t>
      </w:r>
      <w:r>
        <w:rPr>
          <w:rFonts w:cs="Times New Roman"/>
          <w:bCs/>
          <w:kern w:val="2"/>
          <w:szCs w:val="21"/>
        </w:rPr>
        <w:t>2</w:t>
      </w:r>
      <w:r>
        <w:rPr>
          <w:rFonts w:cs="Times New Roman"/>
          <w:kern w:val="2"/>
          <w:szCs w:val="21"/>
        </w:rPr>
        <w:t>024</w:t>
      </w:r>
      <w:r>
        <w:rPr>
          <w:rFonts w:hint="eastAsia" w:cs="Times New Roman"/>
          <w:kern w:val="2"/>
          <w:szCs w:val="21"/>
        </w:rPr>
        <w:t>年0</w:t>
      </w:r>
      <w:r>
        <w:rPr>
          <w:rFonts w:cs="Times New Roman"/>
          <w:kern w:val="2"/>
          <w:szCs w:val="21"/>
        </w:rPr>
        <w:t>6</w:t>
      </w:r>
      <w:r>
        <w:rPr>
          <w:rFonts w:hint="eastAsia" w:cs="Times New Roman"/>
          <w:kern w:val="2"/>
          <w:szCs w:val="21"/>
        </w:rPr>
        <w:t>月</w:t>
      </w:r>
      <w:r>
        <w:rPr>
          <w:rFonts w:hint="eastAsia" w:cs="Times New Roman"/>
          <w:kern w:val="2"/>
          <w:szCs w:val="21"/>
          <w:lang w:val="en-US" w:eastAsia="zh-CN"/>
        </w:rPr>
        <w:t>27</w:t>
      </w:r>
      <w:r>
        <w:rPr>
          <w:rFonts w:hint="eastAsia" w:cs="Times New Roman"/>
          <w:kern w:val="2"/>
          <w:szCs w:val="21"/>
        </w:rPr>
        <w:t>日</w:t>
      </w:r>
      <w:r>
        <w:rPr>
          <w:rFonts w:cs="Times New Roman"/>
          <w:kern w:val="2"/>
          <w:szCs w:val="21"/>
        </w:rPr>
        <w:t>10</w:t>
      </w:r>
      <w:r>
        <w:rPr>
          <w:rFonts w:hint="eastAsia" w:cs="Times New Roman"/>
          <w:kern w:val="2"/>
          <w:szCs w:val="21"/>
        </w:rPr>
        <w:t>点</w:t>
      </w:r>
      <w:r>
        <w:rPr>
          <w:rFonts w:cs="Times New Roman"/>
          <w:kern w:val="2"/>
          <w:szCs w:val="21"/>
        </w:rPr>
        <w:t>00</w:t>
      </w:r>
      <w:r>
        <w:rPr>
          <w:rFonts w:hint="eastAsia" w:cs="Times New Roman"/>
          <w:kern w:val="2"/>
          <w:szCs w:val="21"/>
        </w:rPr>
        <w:t>分（</w:t>
      </w:r>
      <w:r>
        <w:rPr>
          <w:rFonts w:hint="eastAsia" w:cs="Times New Roman"/>
          <w:bCs/>
          <w:kern w:val="2"/>
          <w:szCs w:val="21"/>
        </w:rPr>
        <w:t>北京时间）</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开标时间：202</w:t>
      </w:r>
      <w:r>
        <w:rPr>
          <w:rFonts w:cs="Times New Roman"/>
          <w:kern w:val="2"/>
          <w:szCs w:val="21"/>
        </w:rPr>
        <w:t>4</w:t>
      </w:r>
      <w:r>
        <w:rPr>
          <w:rFonts w:hint="eastAsia" w:cs="Times New Roman"/>
          <w:kern w:val="2"/>
          <w:szCs w:val="21"/>
        </w:rPr>
        <w:t>年0</w:t>
      </w:r>
      <w:r>
        <w:rPr>
          <w:rFonts w:cs="Times New Roman"/>
          <w:kern w:val="2"/>
          <w:szCs w:val="21"/>
        </w:rPr>
        <w:t>6</w:t>
      </w:r>
      <w:r>
        <w:rPr>
          <w:rFonts w:hint="eastAsia" w:cs="Times New Roman"/>
          <w:kern w:val="2"/>
          <w:szCs w:val="21"/>
        </w:rPr>
        <w:t>月</w:t>
      </w:r>
      <w:r>
        <w:rPr>
          <w:rFonts w:hint="eastAsia" w:cs="Times New Roman"/>
          <w:kern w:val="2"/>
          <w:szCs w:val="21"/>
          <w:lang w:val="en-US" w:eastAsia="zh-CN"/>
        </w:rPr>
        <w:t>27</w:t>
      </w:r>
      <w:r>
        <w:rPr>
          <w:rFonts w:hint="eastAsia" w:cs="Times New Roman"/>
          <w:kern w:val="2"/>
          <w:szCs w:val="21"/>
        </w:rPr>
        <w:t xml:space="preserve">日 </w:t>
      </w:r>
      <w:r>
        <w:rPr>
          <w:rFonts w:cs="Times New Roman"/>
          <w:kern w:val="2"/>
          <w:szCs w:val="21"/>
        </w:rPr>
        <w:t>10</w:t>
      </w:r>
      <w:r>
        <w:rPr>
          <w:rFonts w:hint="eastAsia" w:cs="Times New Roman"/>
          <w:kern w:val="2"/>
          <w:szCs w:val="21"/>
        </w:rPr>
        <w:t>点00分（北京时间）</w:t>
      </w:r>
    </w:p>
    <w:p>
      <w:pPr>
        <w:widowControl w:val="0"/>
        <w:shd w:val="clear" w:color="auto" w:fill="auto"/>
        <w:tabs>
          <w:tab w:val="clear" w:pos="426"/>
        </w:tabs>
        <w:adjustRightInd/>
        <w:snapToGrid/>
        <w:ind w:firstLine="420" w:firstLineChars="200"/>
        <w:rPr>
          <w:rFonts w:cs="Times New Roman"/>
          <w:kern w:val="2"/>
          <w:szCs w:val="21"/>
          <w:u w:val="single"/>
        </w:rPr>
      </w:pPr>
      <w:r>
        <w:rPr>
          <w:rFonts w:hint="eastAsia" w:cs="Times New Roman"/>
          <w:kern w:val="2"/>
          <w:szCs w:val="21"/>
        </w:rPr>
        <w:t>地点：深圳市罗湖区清水河街道清水河社区清水河一路112号罗湖投资控股大厦裙楼401</w:t>
      </w:r>
    </w:p>
    <w:p>
      <w:pPr>
        <w:widowControl w:val="0"/>
        <w:shd w:val="clear" w:color="auto" w:fill="auto"/>
        <w:tabs>
          <w:tab w:val="clear" w:pos="426"/>
        </w:tabs>
        <w:adjustRightInd/>
        <w:snapToGrid/>
        <w:ind w:firstLine="424"/>
        <w:jc w:val="left"/>
        <w:rPr>
          <w:rFonts w:cs="Times New Roman"/>
          <w:b/>
          <w:bCs/>
          <w:kern w:val="2"/>
          <w:szCs w:val="21"/>
        </w:rPr>
      </w:pPr>
      <w:bookmarkStart w:id="38" w:name="_Toc120892137"/>
      <w:bookmarkStart w:id="39" w:name="_Toc35393794"/>
      <w:bookmarkStart w:id="40" w:name="_Toc28359007"/>
      <w:bookmarkStart w:id="41" w:name="_Toc35393625"/>
      <w:bookmarkStart w:id="42" w:name="_Toc28359084"/>
    </w:p>
    <w:p>
      <w:pPr>
        <w:widowControl w:val="0"/>
        <w:shd w:val="clear" w:color="auto" w:fill="auto"/>
        <w:tabs>
          <w:tab w:val="clear" w:pos="426"/>
        </w:tabs>
        <w:adjustRightInd/>
        <w:snapToGrid/>
        <w:jc w:val="left"/>
        <w:rPr>
          <w:rFonts w:cs="Times New Roman"/>
          <w:b/>
          <w:bCs/>
          <w:kern w:val="2"/>
          <w:szCs w:val="21"/>
        </w:rPr>
      </w:pPr>
      <w:r>
        <w:rPr>
          <w:rFonts w:hint="eastAsia" w:cs="Times New Roman"/>
          <w:b/>
          <w:bCs/>
          <w:kern w:val="2"/>
          <w:szCs w:val="21"/>
        </w:rPr>
        <w:t>五、公告期限</w:t>
      </w:r>
      <w:bookmarkEnd w:id="38"/>
      <w:bookmarkEnd w:id="39"/>
      <w:bookmarkEnd w:id="40"/>
      <w:bookmarkEnd w:id="41"/>
      <w:bookmarkEnd w:id="42"/>
    </w:p>
    <w:p>
      <w:pPr>
        <w:widowControl w:val="0"/>
        <w:shd w:val="clear" w:color="auto" w:fill="auto"/>
        <w:tabs>
          <w:tab w:val="clear" w:pos="426"/>
        </w:tabs>
        <w:adjustRightInd/>
        <w:snapToGrid/>
        <w:ind w:firstLine="420" w:firstLineChars="200"/>
        <w:rPr>
          <w:szCs w:val="21"/>
        </w:rPr>
      </w:pPr>
      <w:r>
        <w:rPr>
          <w:rFonts w:hint="eastAsia"/>
          <w:szCs w:val="21"/>
        </w:rPr>
        <w:t>自本公告发布之日起</w:t>
      </w:r>
      <w:r>
        <w:rPr>
          <w:szCs w:val="21"/>
        </w:rPr>
        <w:t>5</w:t>
      </w:r>
      <w:r>
        <w:rPr>
          <w:rFonts w:hint="eastAsia"/>
          <w:szCs w:val="21"/>
        </w:rPr>
        <w:t>个工作日。</w:t>
      </w:r>
    </w:p>
    <w:p>
      <w:pPr>
        <w:widowControl w:val="0"/>
        <w:shd w:val="clear" w:color="auto" w:fill="auto"/>
        <w:tabs>
          <w:tab w:val="clear" w:pos="426"/>
        </w:tabs>
        <w:adjustRightInd/>
        <w:snapToGrid/>
        <w:ind w:firstLine="424"/>
        <w:jc w:val="left"/>
        <w:rPr>
          <w:rFonts w:cs="Times New Roman"/>
          <w:b/>
          <w:bCs/>
          <w:kern w:val="2"/>
          <w:szCs w:val="21"/>
        </w:rPr>
      </w:pPr>
      <w:bookmarkStart w:id="43" w:name="_Toc35393626"/>
      <w:bookmarkStart w:id="44" w:name="_Toc120892138"/>
      <w:bookmarkStart w:id="45" w:name="_Toc35393795"/>
    </w:p>
    <w:p>
      <w:pPr>
        <w:widowControl w:val="0"/>
        <w:shd w:val="clear" w:color="auto" w:fill="auto"/>
        <w:tabs>
          <w:tab w:val="clear" w:pos="426"/>
        </w:tabs>
        <w:adjustRightInd/>
        <w:snapToGrid/>
        <w:jc w:val="left"/>
        <w:rPr>
          <w:rFonts w:cs="Times New Roman"/>
          <w:b/>
          <w:bCs/>
          <w:kern w:val="2"/>
          <w:szCs w:val="21"/>
        </w:rPr>
      </w:pPr>
      <w:r>
        <w:rPr>
          <w:rFonts w:hint="eastAsia" w:cs="Times New Roman"/>
          <w:b/>
          <w:bCs/>
          <w:kern w:val="2"/>
          <w:szCs w:val="21"/>
        </w:rPr>
        <w:t>六、其他补充事宜</w:t>
      </w:r>
      <w:bookmarkEnd w:id="43"/>
      <w:bookmarkEnd w:id="44"/>
      <w:bookmarkEnd w:id="45"/>
    </w:p>
    <w:p>
      <w:pPr>
        <w:widowControl w:val="0"/>
        <w:shd w:val="clear" w:color="auto" w:fill="auto"/>
        <w:tabs>
          <w:tab w:val="clear" w:pos="426"/>
        </w:tabs>
        <w:adjustRightInd/>
        <w:snapToGrid/>
        <w:ind w:firstLine="420" w:firstLineChars="200"/>
        <w:rPr>
          <w:rFonts w:cs="Times New Roman"/>
          <w:kern w:val="2"/>
          <w:szCs w:val="21"/>
        </w:rPr>
      </w:pPr>
      <w:r>
        <w:rPr>
          <w:rFonts w:cs="Times New Roman"/>
          <w:kern w:val="2"/>
          <w:szCs w:val="21"/>
        </w:rPr>
        <w:t>1.</w:t>
      </w:r>
      <w:r>
        <w:rPr>
          <w:rFonts w:hint="eastAsia" w:cs="Times New Roman"/>
          <w:kern w:val="2"/>
          <w:szCs w:val="21"/>
        </w:rPr>
        <w:t>答疑事项：</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w:t>
      </w:r>
      <w:r>
        <w:rPr>
          <w:rFonts w:hint="eastAsia" w:cs="Times New Roman"/>
          <w:kern w:val="2"/>
          <w:szCs w:val="21"/>
        </w:rPr>
        <w:t>个工作日内对采购文件提出质疑，根据《中华人民共和国政府采购法》第六章 《中华人民共和国政府采购法实施条例》的有关质疑的指引及要求填写质疑函件，并将质疑函件以及相关质疑内容的证明材料原件送达深圳市深水水务咨询有限公司，逾期不受理。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（2）投标供应商有义务在招标活动期间浏览本公告</w:t>
      </w:r>
      <w:r>
        <w:rPr>
          <w:rFonts w:cs="Times New Roman"/>
          <w:kern w:val="2"/>
          <w:szCs w:val="21"/>
        </w:rPr>
        <w:t>“</w:t>
      </w:r>
      <w:r>
        <w:rPr>
          <w:rFonts w:hint="eastAsia" w:cs="Times New Roman"/>
          <w:kern w:val="2"/>
          <w:szCs w:val="21"/>
        </w:rPr>
        <w:t>六、其它补充事宜</w:t>
      </w:r>
      <w:r>
        <w:rPr>
          <w:rFonts w:cs="Times New Roman"/>
          <w:kern w:val="2"/>
          <w:szCs w:val="21"/>
        </w:rPr>
        <w:t>”</w:t>
      </w:r>
      <w:r>
        <w:rPr>
          <w:rFonts w:hint="eastAsia" w:cs="Times New Roman"/>
          <w:kern w:val="2"/>
          <w:szCs w:val="21"/>
        </w:rPr>
        <w:t>中的相关网站，招标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tabs>
          <w:tab w:val="clear" w:pos="426"/>
        </w:tabs>
        <w:adjustRightInd/>
        <w:snapToGrid/>
        <w:ind w:firstLine="420" w:firstLineChars="200"/>
        <w:rPr>
          <w:rFonts w:cs="Times New Roman"/>
          <w:kern w:val="2"/>
          <w:szCs w:val="21"/>
        </w:rPr>
      </w:pPr>
      <w:r>
        <w:rPr>
          <w:rFonts w:cs="Times New Roman"/>
          <w:kern w:val="2"/>
          <w:szCs w:val="21"/>
        </w:rPr>
        <w:t>2.</w:t>
      </w:r>
      <w:r>
        <w:rPr>
          <w:rFonts w:hint="eastAsia" w:cs="Times New Roman"/>
          <w:kern w:val="2"/>
          <w:szCs w:val="21"/>
        </w:rPr>
        <w:t>消防救援队伍政府采购项目投诉受理单位：</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联系人：财政部政府采购监督裁决处</w:t>
      </w:r>
    </w:p>
    <w:p>
      <w:pPr>
        <w:widowControl w:val="0"/>
        <w:shd w:val="clear" w:color="auto" w:fill="auto"/>
        <w:tabs>
          <w:tab w:val="clear" w:pos="426"/>
        </w:tabs>
        <w:adjustRightInd/>
        <w:snapToGrid/>
        <w:ind w:firstLine="420" w:firstLineChars="200"/>
        <w:rPr>
          <w:szCs w:val="21"/>
        </w:rPr>
      </w:pPr>
      <w:r>
        <w:rPr>
          <w:rFonts w:hint="eastAsia" w:cs="Times New Roman"/>
          <w:kern w:val="2"/>
          <w:szCs w:val="21"/>
        </w:rPr>
        <w:t>电话：</w:t>
      </w:r>
      <w:r>
        <w:rPr>
          <w:rFonts w:cs="Times New Roman"/>
          <w:kern w:val="2"/>
          <w:szCs w:val="21"/>
        </w:rPr>
        <w:t>010-68513070</w:t>
      </w:r>
      <w:r>
        <w:rPr>
          <w:rFonts w:hint="eastAsia" w:cs="Times New Roman"/>
          <w:kern w:val="2"/>
          <w:szCs w:val="21"/>
        </w:rPr>
        <w:t>、</w:t>
      </w:r>
      <w:r>
        <w:rPr>
          <w:rFonts w:cs="Times New Roman"/>
          <w:kern w:val="2"/>
          <w:szCs w:val="21"/>
        </w:rPr>
        <w:t>010-68519967</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地址：北京市西城区月坛北小街</w:t>
      </w:r>
      <w:r>
        <w:rPr>
          <w:rFonts w:cs="Times New Roman"/>
          <w:kern w:val="2"/>
          <w:szCs w:val="21"/>
        </w:rPr>
        <w:t>13</w:t>
      </w:r>
      <w:r>
        <w:rPr>
          <w:rFonts w:hint="eastAsia" w:cs="Times New Roman"/>
          <w:kern w:val="2"/>
          <w:szCs w:val="21"/>
        </w:rPr>
        <w:t>号中船宾馆北楼四层</w:t>
      </w:r>
      <w:r>
        <w:rPr>
          <w:rFonts w:cs="Times New Roman"/>
          <w:kern w:val="2"/>
          <w:szCs w:val="21"/>
        </w:rPr>
        <w:t>8401</w:t>
      </w:r>
      <w:r>
        <w:rPr>
          <w:rFonts w:hint="eastAsia" w:cs="Times New Roman"/>
          <w:kern w:val="2"/>
          <w:szCs w:val="21"/>
        </w:rPr>
        <w:t>室、</w:t>
      </w:r>
      <w:r>
        <w:rPr>
          <w:rFonts w:cs="Times New Roman"/>
          <w:kern w:val="2"/>
          <w:szCs w:val="21"/>
        </w:rPr>
        <w:t>8403</w:t>
      </w:r>
      <w:r>
        <w:rPr>
          <w:rFonts w:hint="eastAsia" w:cs="Times New Roman"/>
          <w:kern w:val="2"/>
          <w:szCs w:val="21"/>
        </w:rPr>
        <w:t>室</w:t>
      </w:r>
    </w:p>
    <w:p>
      <w:pPr>
        <w:widowControl w:val="0"/>
        <w:shd w:val="clear" w:color="auto" w:fill="auto"/>
        <w:tabs>
          <w:tab w:val="clear" w:pos="426"/>
        </w:tabs>
        <w:adjustRightInd/>
        <w:snapToGrid/>
        <w:ind w:firstLine="420" w:firstLineChars="200"/>
        <w:rPr>
          <w:rFonts w:cs="Times New Roman"/>
          <w:kern w:val="2"/>
          <w:szCs w:val="21"/>
        </w:rPr>
      </w:pPr>
      <w:r>
        <w:rPr>
          <w:rFonts w:cs="Times New Roman"/>
          <w:kern w:val="2"/>
          <w:szCs w:val="21"/>
        </w:rPr>
        <w:t>3.</w:t>
      </w:r>
      <w:r>
        <w:rPr>
          <w:rFonts w:hint="eastAsia" w:cs="Times New Roman"/>
          <w:kern w:val="2"/>
          <w:szCs w:val="21"/>
        </w:rPr>
        <w:t>特别说明：</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w:t>
      </w:r>
      <w:r>
        <w:rPr>
          <w:rFonts w:cs="Times New Roman"/>
          <w:kern w:val="2"/>
          <w:szCs w:val="21"/>
        </w:rPr>
        <w:t>1</w:t>
      </w:r>
      <w:r>
        <w:rPr>
          <w:rFonts w:hint="eastAsia" w:cs="Times New Roman"/>
          <w:kern w:val="2"/>
          <w:szCs w:val="21"/>
        </w:rPr>
        <w:t>）本项目共</w:t>
      </w:r>
      <w:r>
        <w:rPr>
          <w:rFonts w:cs="Times New Roman"/>
          <w:kern w:val="2"/>
          <w:szCs w:val="21"/>
        </w:rPr>
        <w:t>3</w:t>
      </w:r>
      <w:r>
        <w:rPr>
          <w:rFonts w:hint="eastAsia" w:cs="Times New Roman"/>
          <w:kern w:val="2"/>
          <w:szCs w:val="21"/>
        </w:rPr>
        <w:t>个包，包划分详见招标文件第三章项目需求-一、服务清单。</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w:t>
      </w:r>
      <w:r>
        <w:rPr>
          <w:rFonts w:cs="Times New Roman"/>
          <w:kern w:val="2"/>
          <w:szCs w:val="21"/>
        </w:rPr>
        <w:t>2</w:t>
      </w:r>
      <w:r>
        <w:rPr>
          <w:rFonts w:hint="eastAsia" w:cs="Times New Roman"/>
          <w:kern w:val="2"/>
          <w:szCs w:val="21"/>
        </w:rPr>
        <w:t>）本项目通过公开招标确定</w:t>
      </w:r>
      <w:r>
        <w:rPr>
          <w:rFonts w:cs="Times New Roman"/>
          <w:kern w:val="2"/>
          <w:szCs w:val="21"/>
        </w:rPr>
        <w:t>3</w:t>
      </w:r>
      <w:r>
        <w:rPr>
          <w:rFonts w:hint="eastAsia" w:cs="Times New Roman"/>
          <w:kern w:val="2"/>
          <w:szCs w:val="21"/>
        </w:rPr>
        <w:t>家中标供应商，投标供应商可选择</w:t>
      </w:r>
      <w:r>
        <w:rPr>
          <w:rFonts w:cs="Times New Roman"/>
          <w:kern w:val="2"/>
          <w:szCs w:val="21"/>
        </w:rPr>
        <w:t>1</w:t>
      </w:r>
      <w:r>
        <w:rPr>
          <w:rFonts w:hint="eastAsia" w:cs="Times New Roman"/>
          <w:kern w:val="2"/>
          <w:szCs w:val="21"/>
        </w:rPr>
        <w:t>个包或</w:t>
      </w:r>
      <w:r>
        <w:rPr>
          <w:rFonts w:cs="Times New Roman"/>
          <w:kern w:val="2"/>
          <w:szCs w:val="21"/>
        </w:rPr>
        <w:t>2</w:t>
      </w:r>
      <w:r>
        <w:rPr>
          <w:rFonts w:hint="eastAsia" w:cs="Times New Roman"/>
          <w:kern w:val="2"/>
          <w:szCs w:val="21"/>
        </w:rPr>
        <w:t>个包或</w:t>
      </w:r>
      <w:r>
        <w:rPr>
          <w:rFonts w:cs="Times New Roman"/>
          <w:kern w:val="2"/>
          <w:szCs w:val="21"/>
        </w:rPr>
        <w:t>3</w:t>
      </w:r>
      <w:r>
        <w:rPr>
          <w:rFonts w:hint="eastAsia" w:cs="Times New Roman"/>
          <w:kern w:val="2"/>
          <w:szCs w:val="21"/>
        </w:rPr>
        <w:t>个包进行投标响应。</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w:t>
      </w:r>
      <w:r>
        <w:rPr>
          <w:rFonts w:cs="Times New Roman"/>
          <w:kern w:val="2"/>
          <w:szCs w:val="21"/>
        </w:rPr>
        <w:t>3</w:t>
      </w:r>
      <w:r>
        <w:rPr>
          <w:rFonts w:hint="eastAsia" w:cs="Times New Roman"/>
          <w:kern w:val="2"/>
          <w:szCs w:val="21"/>
        </w:rPr>
        <w:t>）评标委员会依次评审</w:t>
      </w:r>
      <w:r>
        <w:rPr>
          <w:rFonts w:cs="Times New Roman"/>
          <w:kern w:val="2"/>
          <w:szCs w:val="21"/>
        </w:rPr>
        <w:t>A</w:t>
      </w:r>
      <w:r>
        <w:rPr>
          <w:rFonts w:hint="eastAsia" w:cs="Times New Roman"/>
          <w:kern w:val="2"/>
          <w:szCs w:val="21"/>
        </w:rPr>
        <w:t>包、</w:t>
      </w:r>
      <w:r>
        <w:rPr>
          <w:rFonts w:cs="Times New Roman"/>
          <w:kern w:val="2"/>
          <w:szCs w:val="21"/>
        </w:rPr>
        <w:t>B</w:t>
      </w:r>
      <w:r>
        <w:rPr>
          <w:rFonts w:hint="eastAsia" w:cs="Times New Roman"/>
          <w:kern w:val="2"/>
          <w:szCs w:val="21"/>
        </w:rPr>
        <w:t>包、C包。</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w:t>
      </w:r>
      <w:r>
        <w:rPr>
          <w:rFonts w:cs="Times New Roman"/>
          <w:kern w:val="2"/>
          <w:szCs w:val="21"/>
        </w:rPr>
        <w:t>4</w:t>
      </w:r>
      <w:r>
        <w:rPr>
          <w:rFonts w:hint="eastAsia" w:cs="Times New Roman"/>
          <w:kern w:val="2"/>
          <w:szCs w:val="21"/>
        </w:rPr>
        <w:t>）每个包由评标委员会推荐评标总得分前三名的投标供应商作为候选中标供应商，每个包评标总得分第一名的投标供应商作为对应包的中标供应商，但A包排名第一的中标供应商不能作为B包的中标供应商,B包排名第一的中标供应商不能作为C包的中标供应商（兼投不兼中原则）。</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4</w:t>
      </w:r>
      <w:r>
        <w:rPr>
          <w:rFonts w:cs="Times New Roman"/>
          <w:kern w:val="2"/>
          <w:szCs w:val="21"/>
        </w:rPr>
        <w:t>.</w:t>
      </w:r>
      <w:r>
        <w:rPr>
          <w:rFonts w:hint="eastAsia" w:cs="Times New Roman"/>
          <w:kern w:val="2"/>
          <w:szCs w:val="21"/>
        </w:rPr>
        <w:t>投标文件提交方式补充说明：</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项目编号、包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tabs>
          <w:tab w:val="clear" w:pos="426"/>
        </w:tabs>
        <w:adjustRightInd/>
        <w:snapToGrid/>
        <w:ind w:firstLine="420" w:firstLineChars="200"/>
        <w:rPr>
          <w:rFonts w:cs="Times New Roman"/>
          <w:kern w:val="2"/>
          <w:szCs w:val="21"/>
        </w:rPr>
      </w:pPr>
      <w:r>
        <w:rPr>
          <w:rFonts w:cs="Times New Roman"/>
          <w:kern w:val="2"/>
          <w:szCs w:val="21"/>
        </w:rPr>
        <w:t>5.</w:t>
      </w:r>
      <w:r>
        <w:rPr>
          <w:rFonts w:hint="eastAsia" w:cs="Times New Roman"/>
          <w:kern w:val="2"/>
          <w:szCs w:val="21"/>
        </w:rPr>
        <w:t>信息发布平台：</w:t>
      </w:r>
    </w:p>
    <w:p>
      <w:pPr>
        <w:widowControl w:val="0"/>
        <w:shd w:val="clear" w:color="auto" w:fill="auto"/>
        <w:tabs>
          <w:tab w:val="clear" w:pos="426"/>
        </w:tabs>
        <w:adjustRightInd/>
        <w:snapToGrid/>
        <w:ind w:firstLine="420" w:firstLineChars="200"/>
      </w:pPr>
      <w:r>
        <w:rPr>
          <w:rFonts w:hint="eastAsia"/>
        </w:rPr>
        <w:t>中国政府采购网（</w:t>
      </w:r>
      <w:r>
        <w:t>http://www.ccgp.gov.cn</w:t>
      </w:r>
      <w:r>
        <w:rPr>
          <w:rFonts w:hint="eastAsia"/>
        </w:rPr>
        <w:t>）；</w:t>
      </w:r>
    </w:p>
    <w:p>
      <w:pPr>
        <w:widowControl w:val="0"/>
        <w:shd w:val="clear" w:color="auto" w:fill="auto"/>
        <w:tabs>
          <w:tab w:val="clear" w:pos="426"/>
        </w:tabs>
        <w:adjustRightInd/>
        <w:snapToGrid/>
        <w:ind w:firstLine="420" w:firstLineChars="200"/>
      </w:pPr>
      <w:r>
        <w:rPr>
          <w:rFonts w:hint="eastAsia"/>
        </w:rPr>
        <w:t>深圳市深水水务咨询有限公司官网（</w:t>
      </w:r>
      <w:r>
        <w:fldChar w:fldCharType="begin"/>
      </w:r>
      <w:r>
        <w:instrText xml:space="preserve"> HYPERLINK "http://www.szsszx.com/" </w:instrText>
      </w:r>
      <w:r>
        <w:fldChar w:fldCharType="separate"/>
      </w:r>
      <w:r>
        <w:t>http://www.szsszx.com/</w:t>
      </w:r>
      <w:r>
        <w:fldChar w:fldCharType="end"/>
      </w:r>
      <w:r>
        <w:rPr>
          <w:rFonts w:hint="eastAsia"/>
        </w:rPr>
        <w:t>）。</w:t>
      </w:r>
    </w:p>
    <w:p>
      <w:pPr>
        <w:widowControl w:val="0"/>
        <w:shd w:val="clear" w:color="auto" w:fill="auto"/>
        <w:tabs>
          <w:tab w:val="clear" w:pos="426"/>
        </w:tabs>
        <w:adjustRightInd/>
        <w:snapToGrid/>
        <w:ind w:firstLine="420" w:firstLineChars="200"/>
      </w:pPr>
    </w:p>
    <w:p>
      <w:pPr>
        <w:widowControl w:val="0"/>
        <w:shd w:val="clear" w:color="auto" w:fill="auto"/>
        <w:tabs>
          <w:tab w:val="clear" w:pos="426"/>
        </w:tabs>
        <w:adjustRightInd/>
        <w:snapToGrid/>
        <w:jc w:val="left"/>
        <w:rPr>
          <w:rFonts w:cs="Times New Roman"/>
          <w:b/>
          <w:bCs/>
          <w:kern w:val="2"/>
          <w:szCs w:val="21"/>
        </w:rPr>
      </w:pPr>
      <w:bookmarkStart w:id="46" w:name="_Toc28359008"/>
      <w:bookmarkStart w:id="47" w:name="_Toc35393796"/>
      <w:bookmarkStart w:id="48" w:name="_Toc120892139"/>
      <w:bookmarkStart w:id="49" w:name="_Toc35393627"/>
      <w:bookmarkStart w:id="50" w:name="_Toc28359085"/>
      <w:r>
        <w:rPr>
          <w:rFonts w:hint="eastAsia" w:cs="Times New Roman"/>
          <w:b/>
          <w:bCs/>
          <w:kern w:val="2"/>
          <w:szCs w:val="21"/>
        </w:rPr>
        <w:t>七、对本次招标提出询问，请按以下方式联系。</w:t>
      </w:r>
      <w:bookmarkEnd w:id="46"/>
      <w:bookmarkEnd w:id="47"/>
      <w:bookmarkEnd w:id="48"/>
      <w:bookmarkEnd w:id="49"/>
      <w:bookmarkEnd w:id="50"/>
    </w:p>
    <w:p>
      <w:pPr>
        <w:shd w:val="clear" w:color="auto" w:fill="auto"/>
        <w:tabs>
          <w:tab w:val="clear" w:pos="426"/>
        </w:tabs>
        <w:adjustRightInd/>
        <w:snapToGrid/>
        <w:ind w:firstLine="420" w:firstLineChars="200"/>
        <w:jc w:val="left"/>
        <w:rPr>
          <w:rFonts w:cs="Times New Roman"/>
          <w:kern w:val="2"/>
          <w:szCs w:val="21"/>
        </w:rPr>
      </w:pPr>
      <w:r>
        <w:rPr>
          <w:kern w:val="2"/>
          <w:szCs w:val="21"/>
        </w:rPr>
        <w:t>1.</w:t>
      </w:r>
      <w:r>
        <w:rPr>
          <w:rFonts w:hint="eastAsia"/>
          <w:kern w:val="2"/>
          <w:szCs w:val="21"/>
        </w:rPr>
        <w:t>采购人信息</w:t>
      </w:r>
      <w:bookmarkStart w:id="186" w:name="_GoBack"/>
      <w:bookmarkEnd w:id="186"/>
    </w:p>
    <w:p>
      <w:pPr>
        <w:widowControl w:val="0"/>
        <w:shd w:val="clear" w:color="auto" w:fill="auto"/>
        <w:tabs>
          <w:tab w:val="clear" w:pos="426"/>
        </w:tabs>
        <w:adjustRightInd/>
        <w:snapToGrid/>
        <w:ind w:firstLine="420" w:firstLineChars="200"/>
        <w:jc w:val="left"/>
        <w:rPr>
          <w:rFonts w:cs="Times New Roman"/>
          <w:kern w:val="2"/>
          <w:szCs w:val="21"/>
        </w:rPr>
      </w:pPr>
      <w:r>
        <w:rPr>
          <w:rFonts w:hint="eastAsia" w:cs="Times New Roman"/>
          <w:kern w:val="2"/>
          <w:szCs w:val="21"/>
        </w:rPr>
        <w:t>名称：深圳市宝安区消防救援大队</w:t>
      </w:r>
    </w:p>
    <w:p>
      <w:pPr>
        <w:widowControl w:val="0"/>
        <w:shd w:val="clear" w:color="auto" w:fill="auto"/>
        <w:tabs>
          <w:tab w:val="clear" w:pos="426"/>
        </w:tabs>
        <w:adjustRightInd/>
        <w:snapToGrid/>
        <w:ind w:firstLine="420" w:firstLineChars="200"/>
        <w:jc w:val="left"/>
        <w:rPr>
          <w:rFonts w:cs="Times New Roman"/>
          <w:kern w:val="2"/>
          <w:szCs w:val="21"/>
        </w:rPr>
      </w:pPr>
      <w:r>
        <w:rPr>
          <w:rFonts w:hint="eastAsia" w:cs="Times New Roman"/>
          <w:kern w:val="2"/>
          <w:szCs w:val="21"/>
        </w:rPr>
        <w:t>地址：</w:t>
      </w:r>
      <w:r>
        <w:rPr>
          <w:rFonts w:hint="eastAsia"/>
        </w:rPr>
        <w:t>深圳市宝安区西乡街道银田路51号</w:t>
      </w:r>
    </w:p>
    <w:p>
      <w:pPr>
        <w:widowControl w:val="0"/>
        <w:shd w:val="clear" w:color="auto" w:fill="auto"/>
        <w:tabs>
          <w:tab w:val="clear" w:pos="426"/>
        </w:tabs>
        <w:adjustRightInd/>
        <w:snapToGrid/>
        <w:ind w:firstLine="420" w:firstLineChars="200"/>
        <w:jc w:val="left"/>
        <w:rPr>
          <w:rFonts w:cs="Times New Roman"/>
          <w:kern w:val="2"/>
          <w:szCs w:val="21"/>
        </w:rPr>
      </w:pPr>
      <w:r>
        <w:rPr>
          <w:rFonts w:hint="eastAsia" w:cs="Times New Roman"/>
          <w:kern w:val="2"/>
          <w:szCs w:val="21"/>
        </w:rPr>
        <w:t>联系方式：</w:t>
      </w:r>
      <w:bookmarkStart w:id="51" w:name="_Toc28359009"/>
      <w:bookmarkStart w:id="52" w:name="_Toc28359086"/>
      <w:r>
        <w:rPr>
          <w:rStyle w:val="100"/>
          <w:rFonts w:hint="eastAsia" w:cs="Times New Roman"/>
        </w:rPr>
        <w:t>陈工 0755-85292824</w:t>
      </w:r>
    </w:p>
    <w:p>
      <w:pPr>
        <w:widowControl w:val="0"/>
        <w:shd w:val="clear" w:color="auto" w:fill="auto"/>
        <w:tabs>
          <w:tab w:val="clear" w:pos="426"/>
        </w:tabs>
        <w:adjustRightInd/>
        <w:snapToGrid/>
        <w:ind w:firstLine="420" w:firstLineChars="200"/>
        <w:jc w:val="left"/>
        <w:rPr>
          <w:rFonts w:cs="Times New Roman"/>
          <w:kern w:val="2"/>
          <w:szCs w:val="21"/>
        </w:rPr>
      </w:pPr>
      <w:r>
        <w:rPr>
          <w:kern w:val="2"/>
          <w:szCs w:val="21"/>
        </w:rPr>
        <w:t>2.</w:t>
      </w:r>
      <w:r>
        <w:rPr>
          <w:rFonts w:hint="eastAsia"/>
          <w:kern w:val="2"/>
          <w:szCs w:val="21"/>
        </w:rPr>
        <w:t>采购代理机构信息</w:t>
      </w:r>
      <w:bookmarkEnd w:id="51"/>
      <w:bookmarkEnd w:id="52"/>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名称：深圳市深水水务咨询有限公司</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地址：深圳市罗湖区清水河街道清水河社区清水河一路112号罗湖投资控股大厦裙楼401</w:t>
      </w:r>
    </w:p>
    <w:p>
      <w:pPr>
        <w:widowControl w:val="0"/>
        <w:shd w:val="clear" w:color="auto" w:fill="auto"/>
        <w:tabs>
          <w:tab w:val="clear" w:pos="426"/>
        </w:tabs>
        <w:adjustRightInd/>
        <w:snapToGrid/>
        <w:ind w:firstLine="420" w:firstLineChars="200"/>
        <w:rPr>
          <w:rFonts w:cs="Times New Roman"/>
          <w:kern w:val="2"/>
          <w:szCs w:val="21"/>
        </w:rPr>
      </w:pPr>
      <w:bookmarkStart w:id="53" w:name="_Toc28359010"/>
      <w:bookmarkStart w:id="54" w:name="_Toc28359087"/>
      <w:r>
        <w:rPr>
          <w:rFonts w:hint="eastAsia" w:cs="Times New Roman"/>
          <w:kern w:val="2"/>
          <w:szCs w:val="21"/>
        </w:rPr>
        <w:t>联系方式：庄晓琴</w:t>
      </w:r>
      <w:r>
        <w:rPr>
          <w:rFonts w:cs="Times New Roman"/>
          <w:kern w:val="2"/>
          <w:szCs w:val="21"/>
        </w:rPr>
        <w:t>0755-25165821/13688812350/Email</w:t>
      </w:r>
      <w:r>
        <w:rPr>
          <w:rFonts w:hint="eastAsia" w:cs="Times New Roman"/>
          <w:kern w:val="2"/>
          <w:szCs w:val="21"/>
        </w:rPr>
        <w:t>：</w:t>
      </w:r>
      <w:r>
        <w:rPr>
          <w:rFonts w:cs="Times New Roman"/>
          <w:kern w:val="2"/>
          <w:szCs w:val="21"/>
        </w:rPr>
        <w:t>498174886@qq.com</w:t>
      </w:r>
    </w:p>
    <w:p>
      <w:pPr>
        <w:widowControl w:val="0"/>
        <w:shd w:val="clear" w:color="auto" w:fill="auto"/>
        <w:tabs>
          <w:tab w:val="clear" w:pos="426"/>
        </w:tabs>
        <w:adjustRightInd/>
        <w:snapToGrid/>
        <w:ind w:firstLine="420" w:firstLineChars="200"/>
        <w:rPr>
          <w:rFonts w:cs="Times New Roman"/>
          <w:kern w:val="2"/>
          <w:szCs w:val="21"/>
        </w:rPr>
      </w:pPr>
      <w:r>
        <w:rPr>
          <w:kern w:val="2"/>
          <w:szCs w:val="21"/>
        </w:rPr>
        <w:t>3.</w:t>
      </w:r>
      <w:r>
        <w:rPr>
          <w:rFonts w:hint="eastAsia"/>
          <w:kern w:val="2"/>
          <w:szCs w:val="21"/>
        </w:rPr>
        <w:t>项目联系方式</w:t>
      </w:r>
      <w:bookmarkEnd w:id="53"/>
      <w:bookmarkEnd w:id="54"/>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项目联系人：庄晓琴、张伟</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电话：</w:t>
      </w:r>
      <w:r>
        <w:rPr>
          <w:rFonts w:cs="Times New Roman"/>
          <w:kern w:val="2"/>
          <w:szCs w:val="21"/>
        </w:rPr>
        <w:t>13688812350</w:t>
      </w:r>
    </w:p>
    <w:p>
      <w:pPr>
        <w:ind w:firstLine="424" w:firstLineChars="202"/>
        <w:jc w:val="right"/>
        <w:rPr>
          <w:szCs w:val="21"/>
        </w:rPr>
      </w:pPr>
    </w:p>
    <w:p>
      <w:pPr>
        <w:ind w:firstLine="424" w:firstLineChars="202"/>
        <w:jc w:val="right"/>
        <w:rPr>
          <w:szCs w:val="21"/>
        </w:rPr>
      </w:pPr>
      <w:r>
        <w:rPr>
          <w:rFonts w:hint="eastAsia"/>
          <w:szCs w:val="21"/>
        </w:rPr>
        <w:t>深圳市深水水务咨询有限公司</w:t>
      </w:r>
    </w:p>
    <w:p>
      <w:pPr>
        <w:ind w:firstLine="424" w:firstLineChars="202"/>
        <w:jc w:val="right"/>
        <w:rPr>
          <w:szCs w:val="21"/>
        </w:rPr>
      </w:pPr>
      <w:r>
        <w:rPr>
          <w:szCs w:val="21"/>
        </w:rPr>
        <w:t>2024年</w:t>
      </w:r>
      <w:r>
        <w:rPr>
          <w:rFonts w:hint="eastAsia"/>
          <w:szCs w:val="21"/>
        </w:rPr>
        <w:t>0</w:t>
      </w:r>
      <w:r>
        <w:rPr>
          <w:rFonts w:hint="eastAsia"/>
          <w:szCs w:val="21"/>
          <w:lang w:val="en-US" w:eastAsia="zh-CN"/>
        </w:rPr>
        <w:t>6</w:t>
      </w:r>
      <w:r>
        <w:rPr>
          <w:rFonts w:hint="eastAsia"/>
          <w:szCs w:val="21"/>
        </w:rPr>
        <w:t>月</w:t>
      </w:r>
      <w:r>
        <w:rPr>
          <w:rFonts w:hint="eastAsia"/>
          <w:szCs w:val="21"/>
          <w:lang w:val="en-US" w:eastAsia="zh-CN"/>
        </w:rPr>
        <w:t>06</w:t>
      </w:r>
      <w:r>
        <w:rPr>
          <w:rFonts w:hint="eastAsia"/>
          <w:szCs w:val="21"/>
        </w:rPr>
        <w:t>日</w:t>
      </w:r>
    </w:p>
    <w:bookmarkEnd w:id="14"/>
    <w:p>
      <w:pPr>
        <w:tabs>
          <w:tab w:val="clear" w:pos="426"/>
        </w:tabs>
        <w:sectPr>
          <w:headerReference r:id="rId9" w:type="first"/>
          <w:footerReference r:id="rId11" w:type="first"/>
          <w:headerReference r:id="rId8" w:type="default"/>
          <w:footerReference r:id="rId10" w:type="default"/>
          <w:pgSz w:w="11906" w:h="16838"/>
          <w:pgMar w:top="1440" w:right="1797" w:bottom="1440" w:left="1797" w:header="851" w:footer="992" w:gutter="0"/>
          <w:pgNumType w:fmt="decimal" w:start="1"/>
          <w:cols w:space="720" w:num="1"/>
          <w:titlePg/>
          <w:docGrid w:linePitch="462" w:charSpace="0"/>
        </w:sectPr>
      </w:pPr>
      <w:bookmarkStart w:id="55" w:name="_Toc432592814"/>
    </w:p>
    <w:p>
      <w:pPr>
        <w:pStyle w:val="62"/>
        <w:tabs>
          <w:tab w:val="clear" w:pos="426"/>
        </w:tabs>
        <w:ind w:firstLine="566"/>
      </w:pPr>
      <w:bookmarkStart w:id="56" w:name="_Toc120892140"/>
      <w:r>
        <w:rPr>
          <w:rFonts w:hint="eastAsia"/>
        </w:rPr>
        <w:t>第二章</w:t>
      </w:r>
      <w:bookmarkEnd w:id="55"/>
      <w:r>
        <w:t xml:space="preserve"> </w:t>
      </w:r>
      <w:r>
        <w:rPr>
          <w:rFonts w:hint="eastAsia"/>
        </w:rPr>
        <w:t>投标须知前附表</w:t>
      </w:r>
      <w:bookmarkEnd w:id="56"/>
    </w:p>
    <w:p>
      <w:pPr>
        <w:tabs>
          <w:tab w:val="clear" w:pos="426"/>
        </w:tabs>
        <w:spacing w:line="240" w:lineRule="auto"/>
        <w:ind w:right="-174" w:rightChars="-83"/>
      </w:pPr>
      <w:r>
        <w:rPr>
          <w:rFonts w:hint="eastAsia"/>
        </w:rPr>
        <w:t>说明：本表是对通用条款《投标供应商须知》条款的补充、修改和完善，如果有矛盾，应以本表为准。</w:t>
      </w:r>
    </w:p>
    <w:tbl>
      <w:tblPr>
        <w:tblStyle w:val="85"/>
        <w:tblW w:w="95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9"/>
        <w:gridCol w:w="693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jc w:val="center"/>
        </w:trPr>
        <w:tc>
          <w:tcPr>
            <w:tcW w:w="750" w:type="dxa"/>
            <w:vAlign w:val="center"/>
          </w:tcPr>
          <w:p>
            <w:pPr>
              <w:tabs>
                <w:tab w:val="clear" w:pos="426"/>
              </w:tabs>
              <w:adjustRightInd/>
              <w:snapToGrid/>
              <w:spacing w:line="320" w:lineRule="exact"/>
              <w:jc w:val="center"/>
            </w:pPr>
            <w:r>
              <w:rPr>
                <w:rFonts w:hint="eastAsia"/>
              </w:rPr>
              <w:t>序号</w:t>
            </w:r>
          </w:p>
        </w:tc>
        <w:tc>
          <w:tcPr>
            <w:tcW w:w="1889" w:type="dxa"/>
            <w:vAlign w:val="center"/>
          </w:tcPr>
          <w:p>
            <w:pPr>
              <w:tabs>
                <w:tab w:val="clear" w:pos="426"/>
              </w:tabs>
              <w:adjustRightInd/>
              <w:snapToGrid/>
              <w:spacing w:line="320" w:lineRule="exact"/>
              <w:jc w:val="center"/>
            </w:pPr>
            <w:r>
              <w:rPr>
                <w:rFonts w:hint="eastAsia"/>
              </w:rPr>
              <w:t>内容</w:t>
            </w:r>
          </w:p>
        </w:tc>
        <w:tc>
          <w:tcPr>
            <w:tcW w:w="6931" w:type="dxa"/>
            <w:vAlign w:val="center"/>
          </w:tcPr>
          <w:p>
            <w:pPr>
              <w:tabs>
                <w:tab w:val="clear" w:pos="426"/>
              </w:tabs>
              <w:adjustRightInd/>
              <w:snapToGrid/>
              <w:spacing w:line="320" w:lineRule="exact"/>
              <w:jc w:val="center"/>
            </w:pPr>
            <w:r>
              <w:rPr>
                <w:rFonts w:hint="eastAsia"/>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1</w:t>
            </w:r>
          </w:p>
        </w:tc>
        <w:tc>
          <w:tcPr>
            <w:tcW w:w="1889" w:type="dxa"/>
            <w:vAlign w:val="center"/>
          </w:tcPr>
          <w:p>
            <w:pPr>
              <w:tabs>
                <w:tab w:val="clear" w:pos="426"/>
              </w:tabs>
              <w:adjustRightInd/>
              <w:snapToGrid/>
              <w:spacing w:line="320" w:lineRule="exact"/>
            </w:pPr>
            <w:r>
              <w:rPr>
                <w:rFonts w:hint="eastAsia"/>
              </w:rPr>
              <w:t>联合体投标</w:t>
            </w:r>
          </w:p>
        </w:tc>
        <w:tc>
          <w:tcPr>
            <w:tcW w:w="6931" w:type="dxa"/>
            <w:vAlign w:val="center"/>
          </w:tcPr>
          <w:p>
            <w:pPr>
              <w:tabs>
                <w:tab w:val="clear" w:pos="426"/>
              </w:tabs>
              <w:adjustRightInd/>
              <w:snapToGrid/>
              <w:spacing w:line="320" w:lineRule="exact"/>
            </w:pPr>
            <w:r>
              <w:rPr>
                <w:rFonts w:hint="eastAsia"/>
              </w:rPr>
              <w:t>■不接受（招标文件中相关联合体规定均不适用）</w:t>
            </w:r>
            <w:r>
              <w:t xml:space="preserve">   </w:t>
            </w:r>
            <w:r>
              <w:rPr>
                <w:rFonts w:hint="eastAsia"/>
              </w:rPr>
              <w:t>□接受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2</w:t>
            </w:r>
          </w:p>
        </w:tc>
        <w:tc>
          <w:tcPr>
            <w:tcW w:w="1889" w:type="dxa"/>
            <w:vAlign w:val="center"/>
          </w:tcPr>
          <w:p>
            <w:pPr>
              <w:tabs>
                <w:tab w:val="clear" w:pos="426"/>
              </w:tabs>
              <w:adjustRightInd/>
              <w:snapToGrid/>
              <w:spacing w:line="320" w:lineRule="exact"/>
            </w:pPr>
            <w:r>
              <w:rPr>
                <w:rFonts w:hint="eastAsia"/>
              </w:rPr>
              <w:t>踏勘现场</w:t>
            </w:r>
          </w:p>
        </w:tc>
        <w:tc>
          <w:tcPr>
            <w:tcW w:w="6931" w:type="dxa"/>
            <w:vAlign w:val="center"/>
          </w:tcPr>
          <w:p>
            <w:pPr>
              <w:tabs>
                <w:tab w:val="clear" w:pos="426"/>
              </w:tabs>
              <w:adjustRightInd/>
              <w:snapToGrid/>
              <w:spacing w:line="320" w:lineRule="exact"/>
            </w:pPr>
            <w:r>
              <w:rPr>
                <w:rFonts w:hint="eastAsia"/>
              </w:rPr>
              <w:t>■不组织。</w:t>
            </w:r>
          </w:p>
          <w:p>
            <w:pPr>
              <w:tabs>
                <w:tab w:val="clear" w:pos="426"/>
              </w:tabs>
              <w:adjustRightInd/>
              <w:snapToGrid/>
              <w:spacing w:line="320" w:lineRule="exact"/>
            </w:pPr>
            <w:r>
              <w:rPr>
                <w:rFonts w:hint="eastAsia"/>
              </w:rPr>
              <w:t>□组织。踏勘时间：</w:t>
            </w:r>
            <w:r>
              <w:rPr>
                <w:u w:val="single"/>
              </w:rPr>
              <w:t>______</w:t>
            </w:r>
            <w:r>
              <w:rPr>
                <w:rFonts w:hint="eastAsia"/>
                <w:u w:val="single"/>
              </w:rPr>
              <w:t>年</w:t>
            </w:r>
            <w:r>
              <w:rPr>
                <w:u w:val="single"/>
              </w:rPr>
              <w:t>____</w:t>
            </w:r>
            <w:r>
              <w:rPr>
                <w:rFonts w:hint="eastAsia"/>
                <w:u w:val="single"/>
              </w:rPr>
              <w:t>月</w:t>
            </w:r>
            <w:r>
              <w:rPr>
                <w:u w:val="single"/>
              </w:rPr>
              <w:t>___</w:t>
            </w:r>
            <w:r>
              <w:rPr>
                <w:rFonts w:hint="eastAsia"/>
                <w:u w:val="single"/>
              </w:rPr>
              <w:t>日</w:t>
            </w:r>
            <w:r>
              <w:rPr>
                <w:u w:val="single"/>
              </w:rPr>
              <w:t>____</w:t>
            </w:r>
            <w:r>
              <w:rPr>
                <w:rFonts w:hint="eastAsia"/>
                <w:u w:val="single"/>
              </w:rPr>
              <w:t>时</w:t>
            </w:r>
            <w:r>
              <w:rPr>
                <w:u w:val="single"/>
              </w:rPr>
              <w:t>____</w:t>
            </w:r>
            <w:r>
              <w:rPr>
                <w:rFonts w:hint="eastAsia"/>
                <w:u w:val="single"/>
              </w:rPr>
              <w:t>分</w:t>
            </w:r>
          </w:p>
          <w:p>
            <w:pPr>
              <w:tabs>
                <w:tab w:val="clear" w:pos="426"/>
              </w:tabs>
              <w:adjustRightInd/>
              <w:snapToGrid/>
              <w:spacing w:line="320" w:lineRule="exact"/>
            </w:pPr>
            <w:r>
              <w:t xml:space="preserve">        </w:t>
            </w:r>
            <w:r>
              <w:rPr>
                <w:rFonts w:hint="eastAsia"/>
              </w:rPr>
              <w:t>集合地点：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3</w:t>
            </w:r>
          </w:p>
        </w:tc>
        <w:tc>
          <w:tcPr>
            <w:tcW w:w="1889" w:type="dxa"/>
            <w:vAlign w:val="center"/>
          </w:tcPr>
          <w:p>
            <w:pPr>
              <w:tabs>
                <w:tab w:val="clear" w:pos="426"/>
              </w:tabs>
              <w:adjustRightInd/>
              <w:snapToGrid/>
              <w:spacing w:line="320" w:lineRule="exact"/>
            </w:pPr>
            <w:r>
              <w:rPr>
                <w:rFonts w:hint="eastAsia"/>
              </w:rPr>
              <w:t>投标供应商提出疑问截止时间</w:t>
            </w:r>
          </w:p>
        </w:tc>
        <w:tc>
          <w:tcPr>
            <w:tcW w:w="6931" w:type="dxa"/>
            <w:vAlign w:val="center"/>
          </w:tcPr>
          <w:p>
            <w:pPr>
              <w:tabs>
                <w:tab w:val="clear" w:pos="426"/>
              </w:tabs>
              <w:adjustRightInd/>
              <w:snapToGrid/>
              <w:spacing w:line="320" w:lineRule="exact"/>
            </w:pPr>
            <w:r>
              <w:rPr>
                <w:rFonts w:hint="eastAsia"/>
              </w:rPr>
              <w:t>在获取采购文件或者采购文件公告期限届满之日起</w:t>
            </w:r>
            <w:r>
              <w:t>7</w:t>
            </w:r>
            <w:r>
              <w:rPr>
                <w:rFonts w:hint="eastAsia"/>
              </w:rPr>
              <w:t>个工作日内对采购文件提出质疑。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4</w:t>
            </w:r>
          </w:p>
        </w:tc>
        <w:tc>
          <w:tcPr>
            <w:tcW w:w="1889" w:type="dxa"/>
            <w:vAlign w:val="center"/>
          </w:tcPr>
          <w:p>
            <w:pPr>
              <w:tabs>
                <w:tab w:val="clear" w:pos="426"/>
              </w:tabs>
              <w:adjustRightInd/>
              <w:snapToGrid/>
              <w:spacing w:line="320" w:lineRule="exact"/>
            </w:pPr>
            <w:r>
              <w:rPr>
                <w:rFonts w:hint="eastAsia"/>
              </w:rPr>
              <w:t>澄清或修补、答疑的期限</w:t>
            </w:r>
          </w:p>
        </w:tc>
        <w:tc>
          <w:tcPr>
            <w:tcW w:w="6931" w:type="dxa"/>
            <w:vAlign w:val="center"/>
          </w:tcPr>
          <w:p>
            <w:pPr>
              <w:tabs>
                <w:tab w:val="clear" w:pos="426"/>
              </w:tabs>
              <w:adjustRightInd/>
              <w:snapToGrid/>
              <w:spacing w:line="320" w:lineRule="exact"/>
            </w:pPr>
            <w:r>
              <w:rPr>
                <w:rFonts w:hint="eastAsia"/>
              </w:rPr>
              <w:t>截标之日（当日不计）</w:t>
            </w:r>
            <w:r>
              <w:t>15</w:t>
            </w:r>
            <w:r>
              <w:rPr>
                <w:rFonts w:hint="eastAsia"/>
              </w:rPr>
              <w:t>日前</w:t>
            </w:r>
            <w:r>
              <w:rPr>
                <w:u w:val="single"/>
              </w:rPr>
              <w:t>17</w:t>
            </w:r>
            <w:r>
              <w:rPr>
                <w:rFonts w:hint="eastAsia"/>
                <w:u w:val="single"/>
              </w:rPr>
              <w:t>：</w:t>
            </w:r>
            <w:r>
              <w:rPr>
                <w:u w:val="single"/>
              </w:rPr>
              <w:t>30</w:t>
            </w:r>
            <w:r>
              <w:rPr>
                <w:rFonts w:hint="eastAsia"/>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5</w:t>
            </w:r>
          </w:p>
        </w:tc>
        <w:tc>
          <w:tcPr>
            <w:tcW w:w="1889" w:type="dxa"/>
            <w:vAlign w:val="center"/>
          </w:tcPr>
          <w:p>
            <w:pPr>
              <w:tabs>
                <w:tab w:val="clear" w:pos="426"/>
              </w:tabs>
              <w:adjustRightInd/>
              <w:snapToGrid/>
              <w:spacing w:line="320" w:lineRule="exact"/>
            </w:pPr>
            <w:r>
              <w:rPr>
                <w:rFonts w:hint="eastAsia"/>
              </w:rPr>
              <w:t>招标代理服务费</w:t>
            </w:r>
          </w:p>
        </w:tc>
        <w:tc>
          <w:tcPr>
            <w:tcW w:w="6931" w:type="dxa"/>
            <w:vAlign w:val="center"/>
          </w:tcPr>
          <w:p>
            <w:pPr>
              <w:tabs>
                <w:tab w:val="clear" w:pos="426"/>
              </w:tabs>
              <w:adjustRightInd/>
              <w:snapToGrid/>
              <w:spacing w:line="320" w:lineRule="exact"/>
            </w:pPr>
            <w:r>
              <w:rPr>
                <w:rFonts w:hint="eastAsia"/>
              </w:rPr>
              <w:t>采购代理机构以各包预算金额为计算基数，依据采购人与代理机构约定的招标代理服务费收费办法，按差额定率累进法计算，向对应包号的中标供应商收取。低于人民币</w:t>
            </w:r>
            <w:r>
              <w:t>5000</w:t>
            </w:r>
            <w:r>
              <w:rPr>
                <w:rFonts w:hint="eastAsia"/>
              </w:rPr>
              <w:t>元的，按最低人民币</w:t>
            </w:r>
            <w:r>
              <w:t>5000</w:t>
            </w:r>
            <w:r>
              <w:rPr>
                <w:rFonts w:hint="eastAsia"/>
              </w:rPr>
              <w:t>元收费。招标代理服务费采用转账的方式，账户信息如下：</w:t>
            </w:r>
          </w:p>
          <w:p>
            <w:pPr>
              <w:tabs>
                <w:tab w:val="clear" w:pos="426"/>
              </w:tabs>
              <w:adjustRightInd/>
              <w:snapToGrid/>
              <w:spacing w:line="320" w:lineRule="exact"/>
            </w:pPr>
            <w:r>
              <w:rPr>
                <w:rFonts w:hint="eastAsia"/>
              </w:rPr>
              <w:t>户名：深圳市深水水务咨询有限公司</w:t>
            </w:r>
          </w:p>
          <w:p>
            <w:pPr>
              <w:tabs>
                <w:tab w:val="clear" w:pos="426"/>
              </w:tabs>
              <w:adjustRightInd/>
              <w:snapToGrid/>
              <w:spacing w:line="320" w:lineRule="exact"/>
            </w:pPr>
            <w:r>
              <w:rPr>
                <w:rFonts w:hint="eastAsia"/>
              </w:rPr>
              <w:t>账号：</w:t>
            </w:r>
            <w:r>
              <w:t>443899991010003343618</w:t>
            </w:r>
          </w:p>
          <w:p>
            <w:pPr>
              <w:tabs>
                <w:tab w:val="clear" w:pos="426"/>
              </w:tabs>
              <w:adjustRightInd/>
              <w:snapToGrid/>
              <w:spacing w:line="320" w:lineRule="exact"/>
              <w:rPr>
                <w:kern w:val="2"/>
              </w:rPr>
            </w:pPr>
            <w:r>
              <w:rPr>
                <w:rFonts w:hint="eastAsia"/>
              </w:rPr>
              <w:t>开户行：交通银行深圳金叶支行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6</w:t>
            </w:r>
          </w:p>
        </w:tc>
        <w:tc>
          <w:tcPr>
            <w:tcW w:w="1889" w:type="dxa"/>
            <w:vAlign w:val="center"/>
          </w:tcPr>
          <w:p>
            <w:pPr>
              <w:tabs>
                <w:tab w:val="clear" w:pos="426"/>
              </w:tabs>
              <w:adjustRightInd/>
              <w:snapToGrid/>
              <w:spacing w:line="320" w:lineRule="exact"/>
            </w:pPr>
            <w:r>
              <w:rPr>
                <w:rFonts w:hint="eastAsia"/>
              </w:rPr>
              <w:t>投标担保</w:t>
            </w:r>
          </w:p>
        </w:tc>
        <w:tc>
          <w:tcPr>
            <w:tcW w:w="6931" w:type="dxa"/>
            <w:vAlign w:val="center"/>
          </w:tcPr>
          <w:p>
            <w:pPr>
              <w:tabs>
                <w:tab w:val="clear" w:pos="426"/>
              </w:tabs>
              <w:adjustRightInd/>
              <w:snapToGrid/>
              <w:spacing w:line="320" w:lineRule="exact"/>
            </w:pPr>
            <w:r>
              <w:rPr>
                <w:rFonts w:hint="eastAsia"/>
              </w:rPr>
              <w:t>■不提交</w:t>
            </w:r>
            <w:r>
              <w:t xml:space="preserve">          </w:t>
            </w:r>
            <w:r>
              <w:rPr>
                <w:rFonts w:hint="eastAsia"/>
              </w:rPr>
              <w:t>□提交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7</w:t>
            </w:r>
          </w:p>
        </w:tc>
        <w:tc>
          <w:tcPr>
            <w:tcW w:w="1889" w:type="dxa"/>
            <w:vAlign w:val="center"/>
          </w:tcPr>
          <w:p>
            <w:pPr>
              <w:tabs>
                <w:tab w:val="clear" w:pos="426"/>
              </w:tabs>
              <w:adjustRightInd/>
              <w:snapToGrid/>
              <w:spacing w:line="320" w:lineRule="exact"/>
            </w:pPr>
            <w:r>
              <w:rPr>
                <w:rFonts w:hint="eastAsia"/>
              </w:rPr>
              <w:t>投标有效期</w:t>
            </w:r>
          </w:p>
        </w:tc>
        <w:tc>
          <w:tcPr>
            <w:tcW w:w="6931" w:type="dxa"/>
            <w:vAlign w:val="center"/>
          </w:tcPr>
          <w:p>
            <w:pPr>
              <w:tabs>
                <w:tab w:val="clear" w:pos="426"/>
              </w:tabs>
              <w:adjustRightInd/>
              <w:snapToGrid/>
              <w:spacing w:line="320" w:lineRule="exact"/>
            </w:pPr>
            <w:r>
              <w:t>120</w:t>
            </w:r>
            <w:r>
              <w:rPr>
                <w:rFonts w:hint="eastAsia"/>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8</w:t>
            </w:r>
          </w:p>
        </w:tc>
        <w:tc>
          <w:tcPr>
            <w:tcW w:w="1889" w:type="dxa"/>
            <w:vAlign w:val="center"/>
          </w:tcPr>
          <w:p>
            <w:pPr>
              <w:tabs>
                <w:tab w:val="clear" w:pos="426"/>
              </w:tabs>
              <w:adjustRightInd/>
              <w:snapToGrid/>
              <w:spacing w:line="320" w:lineRule="exact"/>
            </w:pPr>
            <w:r>
              <w:rPr>
                <w:rFonts w:hint="eastAsia"/>
              </w:rPr>
              <w:t>替代方案</w:t>
            </w:r>
          </w:p>
        </w:tc>
        <w:tc>
          <w:tcPr>
            <w:tcW w:w="6931" w:type="dxa"/>
            <w:vAlign w:val="center"/>
          </w:tcPr>
          <w:p>
            <w:pPr>
              <w:tabs>
                <w:tab w:val="clear" w:pos="426"/>
              </w:tabs>
              <w:adjustRightInd/>
              <w:snapToGrid/>
              <w:spacing w:line="320" w:lineRule="exact"/>
            </w:pPr>
            <w:r>
              <w:rPr>
                <w:rFonts w:hint="eastAsia"/>
              </w:rPr>
              <w:t>■不允许</w:t>
            </w:r>
            <w:r>
              <w:t xml:space="preserve">          </w:t>
            </w:r>
            <w:r>
              <w:rPr>
                <w:rFonts w:hint="eastAsia"/>
              </w:rPr>
              <w:t>□允许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9</w:t>
            </w:r>
          </w:p>
        </w:tc>
        <w:tc>
          <w:tcPr>
            <w:tcW w:w="1889" w:type="dxa"/>
            <w:vAlign w:val="center"/>
          </w:tcPr>
          <w:p>
            <w:pPr>
              <w:tabs>
                <w:tab w:val="clear" w:pos="426"/>
              </w:tabs>
              <w:adjustRightInd/>
              <w:snapToGrid/>
              <w:spacing w:line="320" w:lineRule="exact"/>
            </w:pPr>
            <w:r>
              <w:rPr>
                <w:rFonts w:hint="eastAsia"/>
              </w:rPr>
              <w:t>评定分离</w:t>
            </w:r>
          </w:p>
        </w:tc>
        <w:tc>
          <w:tcPr>
            <w:tcW w:w="6931" w:type="dxa"/>
            <w:vAlign w:val="center"/>
          </w:tcPr>
          <w:p>
            <w:pPr>
              <w:tabs>
                <w:tab w:val="clear" w:pos="426"/>
              </w:tabs>
              <w:adjustRightInd/>
              <w:snapToGrid/>
              <w:spacing w:line="320" w:lineRule="exact"/>
            </w:pPr>
            <w:r>
              <w:rPr>
                <w:rFonts w:hint="eastAsia"/>
              </w:rPr>
              <w:t>□是</w:t>
            </w:r>
            <w:r>
              <w:t xml:space="preserve">              </w:t>
            </w:r>
            <w:r>
              <w:rPr>
                <w:rFonts w:hint="eastAsia"/>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10</w:t>
            </w:r>
          </w:p>
        </w:tc>
        <w:tc>
          <w:tcPr>
            <w:tcW w:w="1889" w:type="dxa"/>
            <w:vAlign w:val="center"/>
          </w:tcPr>
          <w:p>
            <w:pPr>
              <w:tabs>
                <w:tab w:val="clear" w:pos="426"/>
              </w:tabs>
              <w:adjustRightInd/>
              <w:snapToGrid/>
              <w:spacing w:line="320" w:lineRule="exact"/>
            </w:pPr>
            <w:r>
              <w:rPr>
                <w:rFonts w:hint="eastAsia"/>
              </w:rPr>
              <w:t>评标方法</w:t>
            </w:r>
          </w:p>
        </w:tc>
        <w:tc>
          <w:tcPr>
            <w:tcW w:w="6931" w:type="dxa"/>
            <w:vAlign w:val="center"/>
          </w:tcPr>
          <w:p>
            <w:pPr>
              <w:tabs>
                <w:tab w:val="clear" w:pos="426"/>
              </w:tabs>
              <w:adjustRightInd/>
              <w:snapToGrid/>
              <w:spacing w:line="320" w:lineRule="exact"/>
              <w:rPr>
                <w:szCs w:val="21"/>
              </w:rPr>
            </w:pPr>
            <w:r>
              <w:rPr>
                <w:rFonts w:hint="eastAsia"/>
              </w:rPr>
              <w:t>■</w:t>
            </w:r>
            <w:r>
              <w:rPr>
                <w:rFonts w:hint="eastAsia"/>
                <w:szCs w:val="21"/>
              </w:rPr>
              <w:t>综合评分法</w:t>
            </w:r>
            <w:r>
              <w:rPr>
                <w:szCs w:val="21"/>
              </w:rPr>
              <w:t xml:space="preserve">      </w:t>
            </w:r>
            <w:r>
              <w:rPr>
                <w:rFonts w:hint="eastAsia"/>
              </w:rPr>
              <w:t>□</w:t>
            </w:r>
            <w:r>
              <w:rPr>
                <w:rFonts w:hint="eastAsia"/>
                <w:szCs w:val="21"/>
              </w:rPr>
              <w:t>定性评审法</w:t>
            </w:r>
            <w:r>
              <w:rPr>
                <w:szCs w:val="21"/>
              </w:rPr>
              <w:t xml:space="preserve">      </w:t>
            </w:r>
            <w:r>
              <w:rPr>
                <w:rFonts w:hint="eastAsia"/>
              </w:rPr>
              <w:t>□</w:t>
            </w:r>
            <w:r>
              <w:rPr>
                <w:rFonts w:hint="eastAsia"/>
                <w:szCs w:val="21"/>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11</w:t>
            </w:r>
          </w:p>
        </w:tc>
        <w:tc>
          <w:tcPr>
            <w:tcW w:w="1889" w:type="dxa"/>
            <w:vAlign w:val="center"/>
          </w:tcPr>
          <w:p>
            <w:pPr>
              <w:tabs>
                <w:tab w:val="clear" w:pos="426"/>
              </w:tabs>
              <w:adjustRightInd/>
              <w:snapToGrid/>
              <w:spacing w:line="320" w:lineRule="exact"/>
            </w:pPr>
            <w:r>
              <w:rPr>
                <w:rFonts w:hint="eastAsia"/>
              </w:rPr>
              <w:t>定标方法</w:t>
            </w:r>
          </w:p>
        </w:tc>
        <w:tc>
          <w:tcPr>
            <w:tcW w:w="6931" w:type="dxa"/>
            <w:vAlign w:val="center"/>
          </w:tcPr>
          <w:p>
            <w:pPr>
              <w:tabs>
                <w:tab w:val="clear" w:pos="426"/>
              </w:tabs>
              <w:adjustRightInd/>
              <w:snapToGrid/>
              <w:spacing w:line="320" w:lineRule="exact"/>
              <w:rPr>
                <w:szCs w:val="21"/>
              </w:rPr>
            </w:pPr>
            <w:r>
              <w:rPr>
                <w:rFonts w:hint="eastAsia"/>
              </w:rPr>
              <w:t>□</w:t>
            </w:r>
            <w:r>
              <w:rPr>
                <w:rFonts w:hint="eastAsia"/>
                <w:szCs w:val="21"/>
              </w:rPr>
              <w:t>自定法</w:t>
            </w:r>
            <w:r>
              <w:rPr>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12</w:t>
            </w:r>
          </w:p>
        </w:tc>
        <w:tc>
          <w:tcPr>
            <w:tcW w:w="1889" w:type="dxa"/>
            <w:vAlign w:val="center"/>
          </w:tcPr>
          <w:p>
            <w:pPr>
              <w:tabs>
                <w:tab w:val="clear" w:pos="426"/>
              </w:tabs>
              <w:adjustRightInd/>
              <w:snapToGrid/>
              <w:spacing w:line="320" w:lineRule="exact"/>
            </w:pPr>
            <w:r>
              <w:rPr>
                <w:rFonts w:hint="eastAsia"/>
              </w:rPr>
              <w:t>履约保证金</w:t>
            </w:r>
          </w:p>
        </w:tc>
        <w:tc>
          <w:tcPr>
            <w:tcW w:w="6931" w:type="dxa"/>
            <w:vAlign w:val="center"/>
          </w:tcPr>
          <w:p>
            <w:pPr>
              <w:tabs>
                <w:tab w:val="clear" w:pos="426"/>
              </w:tabs>
              <w:adjustRightInd/>
              <w:snapToGrid/>
              <w:spacing w:line="240" w:lineRule="auto"/>
            </w:pPr>
            <w:r>
              <w:rPr>
                <w:rFonts w:hint="eastAsia"/>
              </w:rPr>
              <w:t>■不提交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13</w:t>
            </w:r>
          </w:p>
        </w:tc>
        <w:tc>
          <w:tcPr>
            <w:tcW w:w="1889" w:type="dxa"/>
            <w:vAlign w:val="center"/>
          </w:tcPr>
          <w:p>
            <w:pPr>
              <w:tabs>
                <w:tab w:val="clear" w:pos="426"/>
              </w:tabs>
              <w:adjustRightInd/>
              <w:snapToGrid/>
              <w:spacing w:line="320" w:lineRule="exact"/>
            </w:pPr>
            <w:r>
              <w:rPr>
                <w:rFonts w:hint="eastAsia"/>
              </w:rPr>
              <w:t>投标文件份数</w:t>
            </w:r>
          </w:p>
        </w:tc>
        <w:tc>
          <w:tcPr>
            <w:tcW w:w="6931" w:type="dxa"/>
            <w:vAlign w:val="center"/>
          </w:tcPr>
          <w:p>
            <w:pPr>
              <w:tabs>
                <w:tab w:val="clear" w:pos="426"/>
              </w:tabs>
              <w:adjustRightInd/>
              <w:snapToGrid/>
              <w:spacing w:line="320" w:lineRule="exact"/>
            </w:pPr>
            <w:r>
              <w:rPr>
                <w:rFonts w:hint="eastAsia"/>
              </w:rPr>
              <w:t>（</w:t>
            </w:r>
            <w:r>
              <w:t>1</w:t>
            </w:r>
            <w:r>
              <w:rPr>
                <w:rFonts w:hint="eastAsia"/>
              </w:rPr>
              <w:t>）开标信封一份；</w:t>
            </w:r>
          </w:p>
          <w:p>
            <w:pPr>
              <w:tabs>
                <w:tab w:val="clear" w:pos="426"/>
              </w:tabs>
              <w:adjustRightInd/>
              <w:snapToGrid/>
              <w:spacing w:line="320" w:lineRule="exact"/>
            </w:pPr>
            <w:r>
              <w:rPr>
                <w:rFonts w:hint="eastAsia"/>
              </w:rPr>
              <w:t>（</w:t>
            </w:r>
            <w:r>
              <w:t>2</w:t>
            </w:r>
            <w:r>
              <w:rPr>
                <w:rFonts w:hint="eastAsia"/>
              </w:rPr>
              <w:t>）纸质投标文件</w:t>
            </w:r>
            <w:r>
              <w:rPr>
                <w:rFonts w:hint="eastAsia"/>
                <w:u w:val="single"/>
              </w:rPr>
              <w:t>一</w:t>
            </w:r>
            <w:r>
              <w:rPr>
                <w:rFonts w:hint="eastAsia"/>
              </w:rPr>
              <w:t>正本，</w:t>
            </w:r>
            <w:r>
              <w:rPr>
                <w:rFonts w:hint="eastAsia"/>
                <w:u w:val="single"/>
              </w:rPr>
              <w:t>六</w:t>
            </w:r>
            <w:r>
              <w:rPr>
                <w:u w:val="single"/>
              </w:rPr>
              <w:t>_</w:t>
            </w:r>
            <w:r>
              <w:rPr>
                <w:rFonts w:hint="eastAsia"/>
              </w:rPr>
              <w:t>副本，建议胶装，统一密封在一个外密封包里。</w:t>
            </w:r>
          </w:p>
          <w:p>
            <w:pPr>
              <w:tabs>
                <w:tab w:val="clear" w:pos="426"/>
              </w:tabs>
              <w:adjustRightInd/>
              <w:snapToGrid/>
              <w:spacing w:line="320" w:lineRule="exact"/>
              <w:rPr>
                <w:rFonts w:hint="eastAsia"/>
              </w:rPr>
            </w:pPr>
            <w:r>
              <w:rPr>
                <w:rFonts w:hint="eastAsia"/>
              </w:rPr>
              <w:t>备注：投标供应商制作标书时，若同时投标2个或3个包，要求必须对2个或3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50" w:type="dxa"/>
            <w:vAlign w:val="center"/>
          </w:tcPr>
          <w:p>
            <w:pPr>
              <w:tabs>
                <w:tab w:val="clear" w:pos="426"/>
              </w:tabs>
              <w:adjustRightInd/>
              <w:snapToGrid/>
              <w:spacing w:line="320" w:lineRule="exact"/>
              <w:jc w:val="center"/>
            </w:pPr>
            <w:r>
              <w:t>14</w:t>
            </w:r>
          </w:p>
        </w:tc>
        <w:tc>
          <w:tcPr>
            <w:tcW w:w="1889" w:type="dxa"/>
            <w:vAlign w:val="center"/>
          </w:tcPr>
          <w:p>
            <w:pPr>
              <w:tabs>
                <w:tab w:val="clear" w:pos="426"/>
              </w:tabs>
              <w:adjustRightInd/>
              <w:snapToGrid/>
              <w:spacing w:line="320" w:lineRule="exact"/>
            </w:pPr>
            <w:r>
              <w:rPr>
                <w:rFonts w:hint="eastAsia"/>
              </w:rPr>
              <w:t>投标文件电子版</w:t>
            </w:r>
          </w:p>
        </w:tc>
        <w:tc>
          <w:tcPr>
            <w:tcW w:w="6931" w:type="dxa"/>
            <w:vAlign w:val="center"/>
          </w:tcPr>
          <w:p>
            <w:pPr>
              <w:tabs>
                <w:tab w:val="clear" w:pos="426"/>
              </w:tabs>
              <w:adjustRightInd/>
              <w:snapToGrid/>
              <w:spacing w:line="320" w:lineRule="exact"/>
            </w:pPr>
            <w:r>
              <w:rPr>
                <w:rFonts w:hint="eastAsia"/>
              </w:rPr>
              <w:t>U盘一个（</w:t>
            </w:r>
            <w:r>
              <w:t>WORD</w:t>
            </w:r>
            <w:r>
              <w:rPr>
                <w:rFonts w:hint="eastAsia"/>
              </w:rPr>
              <w:t>及投标文件正本盖章后的彩色扫描件，</w:t>
            </w:r>
            <w:r>
              <w:t>PDF</w:t>
            </w:r>
            <w:r>
              <w:rPr>
                <w:rFonts w:hint="eastAsia"/>
              </w:rPr>
              <w:t>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15</w:t>
            </w:r>
          </w:p>
        </w:tc>
        <w:tc>
          <w:tcPr>
            <w:tcW w:w="1889" w:type="dxa"/>
            <w:vAlign w:val="center"/>
          </w:tcPr>
          <w:p>
            <w:pPr>
              <w:tabs>
                <w:tab w:val="clear" w:pos="426"/>
              </w:tabs>
              <w:adjustRightInd/>
              <w:snapToGrid/>
              <w:spacing w:line="320" w:lineRule="exact"/>
            </w:pPr>
            <w:r>
              <w:rPr>
                <w:rFonts w:hint="eastAsia"/>
              </w:rPr>
              <w:t>财政预算金额</w:t>
            </w:r>
          </w:p>
        </w:tc>
        <w:tc>
          <w:tcPr>
            <w:tcW w:w="6931" w:type="dxa"/>
            <w:vAlign w:val="center"/>
          </w:tcPr>
          <w:p>
            <w:pPr>
              <w:tabs>
                <w:tab w:val="clear" w:pos="426"/>
              </w:tabs>
              <w:adjustRightInd/>
              <w:snapToGrid/>
              <w:spacing w:line="240" w:lineRule="auto"/>
            </w:pPr>
            <w:r>
              <w:rPr>
                <w:rFonts w:hint="eastAsia"/>
              </w:rPr>
              <w:t>总预算金额：4873.590000万元（人民币肆仟捌佰柒拾叁万伍仟玖佰元整）</w:t>
            </w:r>
          </w:p>
          <w:p>
            <w:pPr>
              <w:tabs>
                <w:tab w:val="clear" w:pos="426"/>
              </w:tabs>
              <w:adjustRightInd/>
              <w:snapToGrid/>
              <w:spacing w:line="240" w:lineRule="auto"/>
            </w:pPr>
            <w:r>
              <w:rPr>
                <w:rFonts w:hint="eastAsia"/>
              </w:rPr>
              <w:t>A包：￥2040.890000万元（人民币贰仟零肆拾万捌仟玖佰元整）</w:t>
            </w:r>
          </w:p>
          <w:p>
            <w:pPr>
              <w:tabs>
                <w:tab w:val="clear" w:pos="426"/>
              </w:tabs>
              <w:adjustRightInd/>
              <w:snapToGrid/>
              <w:spacing w:line="240" w:lineRule="auto"/>
            </w:pPr>
            <w:r>
              <w:rPr>
                <w:rFonts w:hint="eastAsia"/>
              </w:rPr>
              <w:t>B包：￥1547.180000万元（人民币壹仟伍佰肆拾柒万壹仟捌佰元整）</w:t>
            </w:r>
          </w:p>
          <w:p>
            <w:pPr>
              <w:tabs>
                <w:tab w:val="clear" w:pos="426"/>
              </w:tabs>
              <w:adjustRightInd/>
              <w:snapToGrid/>
              <w:spacing w:line="240" w:lineRule="auto"/>
              <w:jc w:val="left"/>
            </w:pPr>
            <w:r>
              <w:rPr>
                <w:rFonts w:hint="eastAsia"/>
              </w:rPr>
              <w:t>C包：￥1285.520000万元（人民币壹仟贰佰捌拾伍万伍仟贰佰元整）</w:t>
            </w:r>
          </w:p>
          <w:p>
            <w:pPr>
              <w:tabs>
                <w:tab w:val="clear" w:pos="426"/>
              </w:tabs>
              <w:adjustRightInd/>
              <w:snapToGrid/>
              <w:spacing w:line="240" w:lineRule="auto"/>
              <w:jc w:val="left"/>
            </w:pPr>
            <w:r>
              <w:rPr>
                <w:rFonts w:hint="eastAsia"/>
              </w:rPr>
              <w:t>不符合报价要求的投标文件将做无效处理。</w:t>
            </w:r>
          </w:p>
        </w:tc>
      </w:tr>
    </w:tbl>
    <w:p>
      <w:pPr>
        <w:pStyle w:val="62"/>
        <w:tabs>
          <w:tab w:val="left" w:pos="3445"/>
          <w:tab w:val="clear" w:pos="426"/>
        </w:tabs>
        <w:ind w:firstLine="566"/>
        <w:rPr>
          <w:rFonts w:hint="eastAsia"/>
        </w:rPr>
        <w:sectPr>
          <w:footerReference r:id="rId12" w:type="default"/>
          <w:pgSz w:w="11906" w:h="16838"/>
          <w:pgMar w:top="1134" w:right="1134" w:bottom="1134" w:left="1418" w:header="851" w:footer="992" w:gutter="0"/>
          <w:pgNumType w:fmt="decimal"/>
          <w:cols w:space="720" w:num="1"/>
          <w:titlePg/>
          <w:docGrid w:type="lines" w:linePitch="462" w:charSpace="0"/>
        </w:sectPr>
      </w:pPr>
      <w:bookmarkStart w:id="57" w:name="_Toc120892141"/>
      <w:bookmarkStart w:id="58" w:name="_Toc432592816"/>
      <w:bookmarkStart w:id="59" w:name="_Toc398220525"/>
    </w:p>
    <w:p>
      <w:pPr>
        <w:pStyle w:val="62"/>
        <w:tabs>
          <w:tab w:val="left" w:pos="3445"/>
          <w:tab w:val="clear" w:pos="426"/>
        </w:tabs>
        <w:ind w:firstLine="566"/>
      </w:pPr>
      <w:r>
        <w:rPr>
          <w:rFonts w:hint="eastAsia"/>
        </w:rPr>
        <w:t>第三章</w:t>
      </w:r>
      <w:r>
        <w:t xml:space="preserve"> </w:t>
      </w:r>
      <w:r>
        <w:rPr>
          <w:rFonts w:hint="eastAsia"/>
        </w:rPr>
        <w:t>项目需求</w:t>
      </w:r>
      <w:bookmarkEnd w:id="57"/>
    </w:p>
    <w:p>
      <w:pPr>
        <w:pStyle w:val="3"/>
        <w:ind w:firstLine="487"/>
        <w:rPr>
          <w:b/>
          <w:sz w:val="24"/>
        </w:rPr>
      </w:pPr>
      <w:bookmarkStart w:id="60" w:name="_Toc120892142"/>
      <w:r>
        <w:rPr>
          <w:rFonts w:hint="eastAsia"/>
          <w:b/>
          <w:sz w:val="24"/>
        </w:rPr>
        <w:t>一、服务清单</w:t>
      </w:r>
      <w:bookmarkEnd w:id="60"/>
    </w:p>
    <w:tbl>
      <w:tblPr>
        <w:tblStyle w:val="85"/>
        <w:tblW w:w="492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6"/>
        <w:gridCol w:w="1133"/>
        <w:gridCol w:w="850"/>
        <w:gridCol w:w="850"/>
        <w:gridCol w:w="4013"/>
        <w:gridCol w:w="18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包号</w:t>
            </w:r>
          </w:p>
        </w:tc>
        <w:tc>
          <w:tcPr>
            <w:tcW w:w="60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标的名称</w:t>
            </w:r>
          </w:p>
        </w:tc>
        <w:tc>
          <w:tcPr>
            <w:tcW w:w="45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数量</w:t>
            </w:r>
          </w:p>
        </w:tc>
        <w:tc>
          <w:tcPr>
            <w:tcW w:w="45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单位</w:t>
            </w:r>
          </w:p>
        </w:tc>
        <w:tc>
          <w:tcPr>
            <w:tcW w:w="212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Ansi="宋体"/>
                <w:szCs w:val="21"/>
              </w:rPr>
              <w:t>简要技术需求（服务需求）</w:t>
            </w:r>
          </w:p>
        </w:tc>
        <w:tc>
          <w:tcPr>
            <w:tcW w:w="97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预算金额（万元）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Ansi="宋体"/>
                <w:szCs w:val="21"/>
              </w:rPr>
              <w:t>A</w:t>
            </w:r>
            <w:r>
              <w:rPr>
                <w:rFonts w:hint="eastAsia" w:hAnsi="宋体"/>
                <w:szCs w:val="21"/>
              </w:rPr>
              <w:t>包</w:t>
            </w:r>
          </w:p>
        </w:tc>
        <w:tc>
          <w:tcPr>
            <w:tcW w:w="601"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餐饮服务</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项</w:t>
            </w:r>
          </w:p>
        </w:tc>
        <w:tc>
          <w:tcPr>
            <w:tcW w:w="2129" w:type="pct"/>
            <w:tcBorders>
              <w:top w:val="single" w:color="auto" w:sz="4" w:space="0"/>
              <w:left w:val="single" w:color="auto" w:sz="4" w:space="0"/>
              <w:bottom w:val="single" w:color="auto" w:sz="4" w:space="0"/>
              <w:right w:val="single" w:color="auto" w:sz="4" w:space="0"/>
            </w:tcBorders>
            <w:vAlign w:val="center"/>
          </w:tcPr>
          <w:p>
            <w:pPr>
              <w:pStyle w:val="411"/>
              <w:rPr>
                <w:rFonts w:hAnsi="宋体"/>
                <w:szCs w:val="21"/>
              </w:rPr>
            </w:pPr>
            <w:r>
              <w:rPr>
                <w:rFonts w:hint="eastAsia" w:hAnsi="宋体"/>
                <w:szCs w:val="21"/>
              </w:rPr>
              <w:t>配送范围为沙井消防救援站、松岗消防救援站及下属队站共计55个食堂，总人数1058人，按49元/人/天的标准执行，节日加菜费按1200元/人/年。</w:t>
            </w:r>
          </w:p>
        </w:tc>
        <w:tc>
          <w:tcPr>
            <w:tcW w:w="97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cs="Times New Roman"/>
                <w:kern w:val="2"/>
                <w:szCs w:val="21"/>
              </w:rPr>
              <w:t>2040</w:t>
            </w:r>
            <w:r>
              <w:rPr>
                <w:rFonts w:hint="eastAsia" w:cs="Times New Roman"/>
                <w:kern w:val="2"/>
                <w:szCs w:val="21"/>
              </w:rPr>
              <w:t>.</w:t>
            </w:r>
            <w:r>
              <w:rPr>
                <w:rFonts w:cs="Times New Roman"/>
                <w:kern w:val="2"/>
                <w:szCs w:val="21"/>
              </w:rPr>
              <w:t>890000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pPr>
              <w:jc w:val="center"/>
              <w:rPr>
                <w:rFonts w:hAnsi="宋体"/>
                <w:bCs/>
                <w:szCs w:val="21"/>
              </w:rPr>
            </w:pPr>
            <w:r>
              <w:rPr>
                <w:rFonts w:hAnsi="宋体"/>
                <w:bCs/>
                <w:szCs w:val="21"/>
              </w:rPr>
              <w:t>B</w:t>
            </w:r>
            <w:r>
              <w:rPr>
                <w:rFonts w:hint="eastAsia" w:hAnsi="宋体"/>
                <w:szCs w:val="21"/>
              </w:rPr>
              <w:t>包</w:t>
            </w:r>
          </w:p>
        </w:tc>
        <w:tc>
          <w:tcPr>
            <w:tcW w:w="601"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餐饮服务</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项</w:t>
            </w:r>
          </w:p>
        </w:tc>
        <w:tc>
          <w:tcPr>
            <w:tcW w:w="2129" w:type="pct"/>
            <w:tcBorders>
              <w:top w:val="single" w:color="auto" w:sz="4" w:space="0"/>
              <w:left w:val="single" w:color="auto" w:sz="4" w:space="0"/>
              <w:bottom w:val="single" w:color="auto" w:sz="4" w:space="0"/>
              <w:right w:val="single" w:color="auto" w:sz="4" w:space="0"/>
            </w:tcBorders>
            <w:vAlign w:val="center"/>
          </w:tcPr>
          <w:p>
            <w:pPr>
              <w:pStyle w:val="411"/>
              <w:rPr>
                <w:rFonts w:hAnsi="宋体"/>
                <w:szCs w:val="21"/>
              </w:rPr>
            </w:pPr>
            <w:r>
              <w:rPr>
                <w:rFonts w:hint="eastAsia" w:hAnsi="宋体"/>
                <w:szCs w:val="21"/>
              </w:rPr>
              <w:t>配送范围为大队部、西乡消防救援站、福永消防救援站及下属队站共计38个食堂，总人数862人，按49元/人/天的标准执行，节日加菜费按1200元/人/年。</w:t>
            </w:r>
          </w:p>
        </w:tc>
        <w:tc>
          <w:tcPr>
            <w:tcW w:w="97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cs="Times New Roman"/>
                <w:kern w:val="2"/>
                <w:szCs w:val="21"/>
              </w:rPr>
              <w:t>1547.180000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pPr>
              <w:jc w:val="center"/>
              <w:rPr>
                <w:rFonts w:hAnsi="宋体"/>
                <w:bCs/>
                <w:szCs w:val="21"/>
              </w:rPr>
            </w:pPr>
            <w:r>
              <w:rPr>
                <w:rFonts w:hint="eastAsia" w:hAnsi="宋体"/>
                <w:bCs/>
                <w:szCs w:val="21"/>
              </w:rPr>
              <w:t>C包</w:t>
            </w:r>
          </w:p>
        </w:tc>
        <w:tc>
          <w:tcPr>
            <w:tcW w:w="601"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餐饮服务</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项</w:t>
            </w:r>
          </w:p>
        </w:tc>
        <w:tc>
          <w:tcPr>
            <w:tcW w:w="2129" w:type="pct"/>
            <w:tcBorders>
              <w:top w:val="single" w:color="auto" w:sz="4" w:space="0"/>
              <w:left w:val="single" w:color="auto" w:sz="4" w:space="0"/>
              <w:bottom w:val="single" w:color="auto" w:sz="4" w:space="0"/>
              <w:right w:val="single" w:color="auto" w:sz="4" w:space="0"/>
            </w:tcBorders>
            <w:vAlign w:val="center"/>
          </w:tcPr>
          <w:p>
            <w:pPr>
              <w:pStyle w:val="411"/>
              <w:rPr>
                <w:rFonts w:hAnsi="宋体"/>
                <w:szCs w:val="21"/>
              </w:rPr>
            </w:pPr>
            <w:r>
              <w:rPr>
                <w:rFonts w:hint="eastAsia" w:hAnsi="宋体"/>
                <w:szCs w:val="21"/>
              </w:rPr>
              <w:t>配送范围为宝安消防救援站、石岩消防救援站及下属队站共计27个食堂，总人数640人，按49元/人/天的标准执行，节日加菜费按1200元/人/年。</w:t>
            </w:r>
          </w:p>
        </w:tc>
        <w:tc>
          <w:tcPr>
            <w:tcW w:w="97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cs="Times New Roman"/>
                <w:kern w:val="2"/>
                <w:szCs w:val="21"/>
              </w:rPr>
              <w:t>1285.520000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28"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合计</w:t>
            </w:r>
          </w:p>
        </w:tc>
        <w:tc>
          <w:tcPr>
            <w:tcW w:w="97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szCs w:val="21"/>
              </w:rPr>
              <w:t>4873</w:t>
            </w:r>
            <w:r>
              <w:rPr>
                <w:szCs w:val="21"/>
              </w:rPr>
              <w:t>.</w:t>
            </w:r>
            <w:r>
              <w:rPr>
                <w:rFonts w:hint="eastAsia"/>
                <w:szCs w:val="21"/>
              </w:rPr>
              <w:t>590000</w:t>
            </w:r>
          </w:p>
        </w:tc>
      </w:tr>
    </w:tbl>
    <w:p>
      <w:pPr>
        <w:pStyle w:val="3"/>
        <w:ind w:firstLine="487"/>
        <w:rPr>
          <w:b/>
          <w:sz w:val="24"/>
        </w:rPr>
      </w:pPr>
      <w:bookmarkStart w:id="61" w:name="_Toc120892143"/>
      <w:bookmarkStart w:id="62" w:name="_Toc518464359"/>
      <w:bookmarkStart w:id="63" w:name="_Toc528675169"/>
      <w:bookmarkStart w:id="64" w:name="_Toc528170797"/>
      <w:r>
        <w:rPr>
          <w:rFonts w:hint="eastAsia"/>
          <w:b/>
          <w:sz w:val="24"/>
        </w:rPr>
        <w:t>二、实质性响应条款</w:t>
      </w:r>
      <w:bookmarkEnd w:id="61"/>
    </w:p>
    <w:bookmarkEnd w:id="62"/>
    <w:bookmarkEnd w:id="63"/>
    <w:bookmarkEnd w:id="64"/>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0"/>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widowControl w:val="0"/>
              <w:shd w:val="clear" w:color="auto" w:fill="auto"/>
              <w:tabs>
                <w:tab w:val="clear" w:pos="426"/>
              </w:tabs>
              <w:spacing w:line="240" w:lineRule="auto"/>
              <w:jc w:val="center"/>
              <w:rPr>
                <w:rFonts w:cs="Times New Roman"/>
                <w:szCs w:val="21"/>
              </w:rPr>
            </w:pPr>
            <w:bookmarkStart w:id="65" w:name="_Toc530152519"/>
            <w:r>
              <w:rPr>
                <w:rFonts w:hint="eastAsia" w:cs="Times New Roman"/>
                <w:szCs w:val="21"/>
              </w:rPr>
              <w:t>序号</w:t>
            </w:r>
          </w:p>
        </w:tc>
        <w:tc>
          <w:tcPr>
            <w:tcW w:w="2410" w:type="dxa"/>
            <w:vAlign w:val="center"/>
          </w:tcPr>
          <w:p>
            <w:pPr>
              <w:widowControl w:val="0"/>
              <w:shd w:val="clear" w:color="auto" w:fill="auto"/>
              <w:tabs>
                <w:tab w:val="clear" w:pos="426"/>
              </w:tabs>
              <w:spacing w:line="240" w:lineRule="auto"/>
              <w:jc w:val="center"/>
              <w:rPr>
                <w:rFonts w:cs="Times New Roman"/>
                <w:szCs w:val="21"/>
              </w:rPr>
            </w:pPr>
            <w:r>
              <w:rPr>
                <w:rFonts w:hint="eastAsia" w:cs="Times New Roman"/>
                <w:szCs w:val="21"/>
              </w:rPr>
              <w:t>目录</w:t>
            </w:r>
          </w:p>
        </w:tc>
        <w:tc>
          <w:tcPr>
            <w:tcW w:w="6343" w:type="dxa"/>
            <w:vAlign w:val="center"/>
          </w:tcPr>
          <w:p>
            <w:pPr>
              <w:widowControl w:val="0"/>
              <w:spacing w:line="240" w:lineRule="auto"/>
              <w:jc w:val="center"/>
              <w:rPr>
                <w:rFonts w:cs="Times New Roman"/>
                <w:szCs w:val="21"/>
              </w:rPr>
            </w:pPr>
            <w:r>
              <w:rPr>
                <w:rFonts w:hint="eastAsia" w:cs="Times New Roman"/>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widowControl w:val="0"/>
              <w:shd w:val="clear" w:color="auto" w:fill="auto"/>
              <w:tabs>
                <w:tab w:val="clear" w:pos="426"/>
              </w:tabs>
              <w:spacing w:line="240" w:lineRule="auto"/>
              <w:jc w:val="center"/>
              <w:rPr>
                <w:rFonts w:cs="Times New Roman"/>
                <w:szCs w:val="21"/>
              </w:rPr>
            </w:pPr>
            <w:r>
              <w:rPr>
                <w:rFonts w:cs="Times New Roman"/>
                <w:szCs w:val="21"/>
              </w:rPr>
              <w:t>1</w:t>
            </w:r>
          </w:p>
        </w:tc>
        <w:tc>
          <w:tcPr>
            <w:tcW w:w="2410" w:type="dxa"/>
            <w:vAlign w:val="center"/>
          </w:tcPr>
          <w:p>
            <w:pPr>
              <w:widowControl w:val="0"/>
              <w:shd w:val="clear" w:color="auto" w:fill="auto"/>
              <w:tabs>
                <w:tab w:val="clear" w:pos="426"/>
              </w:tabs>
              <w:spacing w:line="240" w:lineRule="auto"/>
              <w:jc w:val="left"/>
              <w:rPr>
                <w:rFonts w:ascii="Times New Roman" w:cs="Times New Roman"/>
                <w:szCs w:val="21"/>
              </w:rPr>
            </w:pPr>
            <w:r>
              <w:rPr>
                <w:rFonts w:hint="eastAsia"/>
                <w:szCs w:val="21"/>
              </w:rPr>
              <w:t>资格、符合性评审条款</w:t>
            </w:r>
          </w:p>
        </w:tc>
        <w:tc>
          <w:tcPr>
            <w:tcW w:w="6343" w:type="dxa"/>
            <w:vAlign w:val="center"/>
          </w:tcPr>
          <w:p>
            <w:pPr>
              <w:widowControl w:val="0"/>
              <w:shd w:val="clear" w:color="auto" w:fill="auto"/>
              <w:tabs>
                <w:tab w:val="clear" w:pos="426"/>
              </w:tabs>
              <w:spacing w:line="240" w:lineRule="auto"/>
              <w:ind w:firstLine="420" w:firstLineChars="200"/>
              <w:jc w:val="left"/>
              <w:rPr>
                <w:rFonts w:ascii="Times New Roman" w:cs="Times New Roman"/>
                <w:szCs w:val="21"/>
              </w:rPr>
            </w:pPr>
            <w:r>
              <w:rPr>
                <w:rFonts w:hint="eastAsia"/>
                <w:szCs w:val="21"/>
              </w:rPr>
              <w:t>凡出现《资格性审查表》及《符合性审查表》中情形之一的，将导致投标无效。以评审现场结论为准。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widowControl w:val="0"/>
              <w:shd w:val="clear" w:color="auto" w:fill="auto"/>
              <w:tabs>
                <w:tab w:val="clear" w:pos="426"/>
              </w:tabs>
              <w:spacing w:line="240" w:lineRule="auto"/>
              <w:jc w:val="center"/>
              <w:rPr>
                <w:rFonts w:cs="Times New Roman"/>
                <w:szCs w:val="21"/>
              </w:rPr>
            </w:pPr>
            <w:r>
              <w:rPr>
                <w:rFonts w:cs="Times New Roman"/>
                <w:szCs w:val="21"/>
              </w:rPr>
              <w:t>2</w:t>
            </w:r>
          </w:p>
        </w:tc>
        <w:tc>
          <w:tcPr>
            <w:tcW w:w="2410" w:type="dxa"/>
            <w:vAlign w:val="center"/>
          </w:tcPr>
          <w:p>
            <w:pPr>
              <w:widowControl w:val="0"/>
              <w:shd w:val="clear" w:color="auto" w:fill="auto"/>
              <w:tabs>
                <w:tab w:val="clear" w:pos="426"/>
              </w:tabs>
              <w:spacing w:line="240" w:lineRule="auto"/>
              <w:jc w:val="left"/>
              <w:rPr>
                <w:rFonts w:ascii="Times New Roman" w:cs="Times New Roman"/>
                <w:szCs w:val="21"/>
              </w:rPr>
            </w:pPr>
            <w:r>
              <w:rPr>
                <w:rFonts w:hint="eastAsia"/>
                <w:szCs w:val="21"/>
              </w:rPr>
              <w:t>服务期</w:t>
            </w:r>
          </w:p>
        </w:tc>
        <w:tc>
          <w:tcPr>
            <w:tcW w:w="6343" w:type="dxa"/>
            <w:vAlign w:val="center"/>
          </w:tcPr>
          <w:p>
            <w:pPr>
              <w:widowControl w:val="0"/>
              <w:shd w:val="clear" w:color="auto" w:fill="auto"/>
              <w:tabs>
                <w:tab w:val="clear" w:pos="426"/>
              </w:tabs>
              <w:spacing w:line="240" w:lineRule="auto"/>
              <w:ind w:firstLine="420" w:firstLineChars="200"/>
              <w:jc w:val="left"/>
              <w:rPr>
                <w:szCs w:val="21"/>
              </w:rPr>
            </w:pPr>
            <w:r>
              <w:rPr>
                <w:rFonts w:hint="eastAsia" w:hAnsi="宋体" w:cs="仿宋"/>
                <w:kern w:val="2"/>
                <w:szCs w:val="21"/>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widowControl w:val="0"/>
              <w:shd w:val="clear" w:color="auto" w:fill="auto"/>
              <w:tabs>
                <w:tab w:val="clear" w:pos="426"/>
              </w:tabs>
              <w:spacing w:line="240" w:lineRule="auto"/>
              <w:jc w:val="center"/>
              <w:rPr>
                <w:rFonts w:cs="Times New Roman"/>
                <w:szCs w:val="21"/>
              </w:rPr>
            </w:pPr>
            <w:r>
              <w:rPr>
                <w:rFonts w:cs="Times New Roman"/>
                <w:szCs w:val="21"/>
              </w:rPr>
              <w:t>3</w:t>
            </w:r>
          </w:p>
        </w:tc>
        <w:tc>
          <w:tcPr>
            <w:tcW w:w="2410" w:type="dxa"/>
            <w:vAlign w:val="center"/>
          </w:tcPr>
          <w:p>
            <w:pPr>
              <w:widowControl w:val="0"/>
              <w:shd w:val="clear" w:color="auto" w:fill="auto"/>
              <w:tabs>
                <w:tab w:val="clear" w:pos="426"/>
              </w:tabs>
              <w:spacing w:line="240" w:lineRule="auto"/>
              <w:jc w:val="left"/>
              <w:rPr>
                <w:szCs w:val="21"/>
              </w:rPr>
            </w:pPr>
            <w:r>
              <w:rPr>
                <w:rFonts w:hint="eastAsia"/>
                <w:szCs w:val="21"/>
              </w:rPr>
              <w:t>技术需求、商务需求</w:t>
            </w:r>
          </w:p>
        </w:tc>
        <w:tc>
          <w:tcPr>
            <w:tcW w:w="6343" w:type="dxa"/>
            <w:vAlign w:val="center"/>
          </w:tcPr>
          <w:p>
            <w:pPr>
              <w:widowControl w:val="0"/>
              <w:shd w:val="clear" w:color="auto" w:fill="auto"/>
              <w:tabs>
                <w:tab w:val="clear" w:pos="426"/>
              </w:tabs>
              <w:spacing w:line="240" w:lineRule="auto"/>
              <w:ind w:firstLine="420" w:firstLineChars="200"/>
              <w:jc w:val="left"/>
              <w:rPr>
                <w:rFonts w:hAnsi="宋体" w:cs="仿宋"/>
                <w:kern w:val="2"/>
                <w:szCs w:val="21"/>
              </w:rPr>
            </w:pPr>
            <w:r>
              <w:rPr>
                <w:rFonts w:hint="eastAsia" w:hAnsi="宋体" w:cs="仿宋"/>
                <w:kern w:val="2"/>
                <w:szCs w:val="21"/>
              </w:rPr>
              <w:t>完全满足</w:t>
            </w:r>
            <w:r>
              <w:rPr>
                <w:rFonts w:hint="eastAsia"/>
                <w:szCs w:val="21"/>
              </w:rPr>
              <w:t>技术需求、商务需求中</w:t>
            </w:r>
            <w:r>
              <w:rPr>
                <w:rFonts w:hint="eastAsia" w:hAnsi="宋体" w:cs="仿宋"/>
                <w:kern w:val="2"/>
                <w:szCs w:val="21"/>
              </w:rPr>
              <w:t>带</w:t>
            </w:r>
            <w:bookmarkStart w:id="66" w:name="_Hlk129263812"/>
            <w:r>
              <w:rPr>
                <w:rFonts w:hint="eastAsia" w:hAnsi="宋体" w:cs="仿宋"/>
                <w:kern w:val="2"/>
                <w:szCs w:val="21"/>
              </w:rPr>
              <w:t>★</w:t>
            </w:r>
            <w:bookmarkEnd w:id="66"/>
            <w:r>
              <w:rPr>
                <w:rFonts w:hint="eastAsia" w:hAnsi="宋体" w:cs="仿宋"/>
                <w:kern w:val="2"/>
                <w:szCs w:val="21"/>
              </w:rPr>
              <w:t>号条款。</w:t>
            </w:r>
          </w:p>
        </w:tc>
      </w:tr>
    </w:tbl>
    <w:p>
      <w:pPr>
        <w:rPr>
          <w:b/>
        </w:rPr>
      </w:pPr>
      <w:r>
        <w:rPr>
          <w:rFonts w:hint="eastAsia"/>
          <w:b/>
        </w:rPr>
        <w:t>备注：</w:t>
      </w:r>
    </w:p>
    <w:p>
      <w:pPr>
        <w:ind w:firstLine="422" w:firstLineChars="200"/>
        <w:rPr>
          <w:b/>
        </w:rPr>
      </w:pPr>
      <w:r>
        <w:rPr>
          <w:b/>
        </w:rPr>
        <w:t>1.</w:t>
      </w:r>
      <w:r>
        <w:rPr>
          <w:rFonts w:hint="eastAsia"/>
          <w:b/>
        </w:rPr>
        <w:t>上表所列内容为不可负偏离条款，如投标供应商该部分内容出现负偏离或未对该部分内容进行响应，将按照符合性检查表作无效标处理。</w:t>
      </w:r>
    </w:p>
    <w:p>
      <w:pPr>
        <w:pStyle w:val="3"/>
        <w:ind w:firstLine="487"/>
        <w:rPr>
          <w:b/>
          <w:sz w:val="24"/>
        </w:rPr>
      </w:pPr>
      <w:bookmarkStart w:id="67" w:name="_Toc120892144"/>
      <w:r>
        <w:rPr>
          <w:rFonts w:hint="eastAsia"/>
          <w:b/>
          <w:sz w:val="24"/>
        </w:rPr>
        <w:t>三、技术</w:t>
      </w:r>
      <w:bookmarkEnd w:id="67"/>
      <w:r>
        <w:rPr>
          <w:rFonts w:hint="eastAsia"/>
          <w:b/>
          <w:sz w:val="24"/>
        </w:rPr>
        <w:t>需求</w:t>
      </w:r>
    </w:p>
    <w:p>
      <w:pPr>
        <w:rPr>
          <w:b/>
          <w:bCs/>
        </w:rPr>
      </w:pPr>
      <w:r>
        <w:rPr>
          <w:rFonts w:hint="eastAsia"/>
          <w:b/>
          <w:bCs/>
        </w:rPr>
        <w:t>1</w:t>
      </w:r>
      <w:r>
        <w:rPr>
          <w:b/>
          <w:bCs/>
        </w:rPr>
        <w:t>.</w:t>
      </w:r>
      <w:r>
        <w:rPr>
          <w:rFonts w:hint="eastAsia"/>
          <w:b/>
          <w:bCs/>
        </w:rPr>
        <w:t>服务工作内容</w:t>
      </w:r>
    </w:p>
    <w:p>
      <w:pPr>
        <w:ind w:firstLine="420" w:firstLineChars="200"/>
        <w:rPr>
          <w:rFonts w:hint="eastAsia" w:hAnsi="宋体" w:cs="仿宋"/>
          <w:szCs w:val="21"/>
        </w:rPr>
        <w:sectPr>
          <w:footerReference r:id="rId14" w:type="first"/>
          <w:footerReference r:id="rId13" w:type="default"/>
          <w:pgSz w:w="11906" w:h="16838"/>
          <w:pgMar w:top="1134" w:right="1134" w:bottom="1134" w:left="1418" w:header="851" w:footer="992" w:gutter="0"/>
          <w:pgNumType w:fmt="decimal"/>
          <w:cols w:space="720" w:num="1"/>
          <w:titlePg/>
          <w:docGrid w:type="lines" w:linePitch="462" w:charSpace="0"/>
        </w:sectPr>
      </w:pPr>
    </w:p>
    <w:p>
      <w:pPr>
        <w:ind w:firstLine="420" w:firstLineChars="200"/>
        <w:rPr>
          <w:rFonts w:hAnsi="宋体" w:cs="仿宋"/>
          <w:szCs w:val="21"/>
        </w:rPr>
      </w:pPr>
      <w:r>
        <w:rPr>
          <w:rFonts w:hint="eastAsia" w:hAnsi="宋体" w:cs="仿宋"/>
          <w:szCs w:val="21"/>
        </w:rPr>
        <w:t>①配送食品全部经过国家规定的职能部门检验并有检测报告，安全可靠，从来未出现配送食品安全事故，并出</w:t>
      </w:r>
      <w:r>
        <w:rPr>
          <w:rFonts w:hint="eastAsia" w:hAnsi="宋体" w:cs="仿宋"/>
          <w:b/>
          <w:bCs/>
          <w:szCs w:val="21"/>
        </w:rPr>
        <w:t>具相关承诺书（提供承诺书，格式自拟，加盖投标人公章）</w:t>
      </w:r>
      <w:r>
        <w:rPr>
          <w:rFonts w:hint="eastAsia" w:hAnsi="宋体" w:cs="仿宋"/>
          <w:bCs/>
          <w:szCs w:val="21"/>
        </w:rPr>
        <w:t>。</w:t>
      </w:r>
    </w:p>
    <w:p>
      <w:pPr>
        <w:ind w:firstLine="420" w:firstLineChars="200"/>
        <w:rPr>
          <w:rFonts w:hAnsi="宋体" w:cs="仿宋"/>
          <w:szCs w:val="21"/>
        </w:rPr>
      </w:pPr>
      <w:r>
        <w:rPr>
          <w:rFonts w:hint="eastAsia" w:hAnsi="宋体" w:cs="仿宋"/>
          <w:szCs w:val="21"/>
        </w:rPr>
        <w:t>②试供期：采购人选定中标供应商并签订合同后正式进入试供期。</w:t>
      </w:r>
      <w:r>
        <w:rPr>
          <w:rFonts w:hint="eastAsia" w:hAnsi="宋体" w:cs="仿宋"/>
          <w:bCs/>
          <w:szCs w:val="21"/>
        </w:rPr>
        <w:t>试供期为配送的第一个月，主要</w:t>
      </w:r>
      <w:r>
        <w:rPr>
          <w:rFonts w:hint="eastAsia" w:hAnsi="宋体" w:cs="仿宋"/>
          <w:szCs w:val="21"/>
        </w:rPr>
        <w:t>考察中标供应商的货物质量、服务、信誉等方面。试供期满且经采购人综合考察认为合格的，合同继续执行；若试供期间出现质量、服务等难以磨合等问题的，经双方协商同意后，可终止合同，采购人有权选择其他备选供应商进行替补。</w:t>
      </w:r>
    </w:p>
    <w:p>
      <w:pPr>
        <w:ind w:firstLine="420" w:firstLineChars="200"/>
        <w:rPr>
          <w:rFonts w:hAnsi="宋体" w:cs="仿宋"/>
          <w:szCs w:val="21"/>
        </w:rPr>
      </w:pPr>
      <w:r>
        <w:rPr>
          <w:rFonts w:hint="eastAsia" w:hAnsi="宋体" w:cs="仿宋"/>
          <w:szCs w:val="21"/>
        </w:rPr>
        <w:t>③所供食品的质量要求：所供食品均符合《国家食品卫生标准》、《食品卫生法》和《动物检疫法》等相关规定，保证卫生安全，应当无毒、无害，具有相应的色、香、味等感官性状。蔬菜水果类应保持较好的色泽和新鲜度，不得有黄叶、腐烂、泥沙等现象，或属于无公害蔬菜水果；冷冻类及干货应在保质期范围内，并保持较好的外观和等级；鲜肉类全部来源于国家认可的正规肉厂，为当日新鲜商品，并经政府相关检验合格；海鲜、河鲜产品必须鲜活；粮油、副食、调料等由大型正规厂供货，相关证件齐全；禽蛋类须是无公害禽蛋，并提供相关证明；干杂类须是正规厂家并具有合格证书且无任何添加剂的优质产品。配送的蔬菜肉类需具有追踪溯源体系，并可追踪溯源。严禁配送假冒、变质、过期的产品，不得弄虚作假或以次充好，对于不符合质量的品种采购人有权要求退货或换货。因供应的货物质量达不到国家有关食品安全标准而造成食物中毒或其它后果，经公安机关或卫生防疫部门鉴定属于中标供应商（配送单位）责任的，其产生的一切法律和经济责任全部由中标供应商承担。</w:t>
      </w:r>
    </w:p>
    <w:p>
      <w:pPr>
        <w:ind w:firstLine="420" w:firstLineChars="200"/>
        <w:rPr>
          <w:rFonts w:hAnsi="宋体" w:cs="仿宋"/>
          <w:szCs w:val="21"/>
        </w:rPr>
      </w:pPr>
      <w:r>
        <w:rPr>
          <w:rFonts w:hint="eastAsia" w:hAnsi="宋体" w:cs="仿宋"/>
          <w:szCs w:val="21"/>
        </w:rPr>
        <w:t>④数量及验收要求：中标供应商应保证所供货物品种和数量、重量的准确性，采购人和中标供应商应分别建立采购和供应台账，确定专人（不少于两人）负责验收和送货，以采购人的验货数量为准，中标供应商每次随货送上一式两份的送货清单，供采购人验货后签字确认，双方各持一份，作为送、收货的凭证。对于出现质量、数量不符合要求等现象，采购人有权要求供应商及时退换，并按合同约定作出相应罚款处罚，中标供应商必须无条件退换，并保证员工正常就餐。</w:t>
      </w:r>
    </w:p>
    <w:p>
      <w:pPr>
        <w:ind w:firstLine="420" w:firstLineChars="200"/>
        <w:rPr>
          <w:rFonts w:hAnsi="宋体" w:cs="仿宋"/>
          <w:szCs w:val="21"/>
        </w:rPr>
      </w:pPr>
      <w:r>
        <w:rPr>
          <w:rFonts w:hint="eastAsia" w:hAnsi="宋体" w:cs="仿宋"/>
          <w:szCs w:val="21"/>
        </w:rPr>
        <w:t>⑤送货时间要求：根据采购人实际需要协商确定具体的送货时间。采购人应提前（在具体合同中约定）向中标供应商以传真或电子文件等方式提交购货计划，并说明购货品种、数量及其他需要说明的事项。中标供应商在接到购货订单通知后，应按采购人订购单的要求送货。极个别产品因质量太差或没有货源时应及时反馈到采购人并协商调整，保证所需货物准时到达。如若迟到，须承担相关违约责任，由双方签订具体送货合同时约定处罚条款。</w:t>
      </w:r>
    </w:p>
    <w:p>
      <w:pPr>
        <w:ind w:firstLine="420" w:firstLineChars="200"/>
        <w:rPr>
          <w:rFonts w:hAnsi="宋体" w:cs="仿宋"/>
          <w:szCs w:val="21"/>
        </w:rPr>
      </w:pPr>
      <w:r>
        <w:rPr>
          <w:rFonts w:hint="eastAsia" w:hAnsi="宋体" w:cs="仿宋"/>
          <w:szCs w:val="21"/>
        </w:rPr>
        <w:t>⑥如配送的货物不符合要求，一次提出口头警告并要求供应商做出书面保证，二次扣当天货款10%，第三次扣当天货款10%并解除合同。不符合要求达到三次的，采购人可解除供货合同，由其他备选供应商接替。</w:t>
      </w:r>
    </w:p>
    <w:p>
      <w:pPr>
        <w:ind w:firstLine="420" w:firstLineChars="200"/>
        <w:rPr>
          <w:rFonts w:hAnsi="宋体" w:cs="仿宋"/>
          <w:szCs w:val="21"/>
        </w:rPr>
      </w:pPr>
      <w:r>
        <w:rPr>
          <w:rFonts w:hint="eastAsia" w:hAnsi="宋体" w:cs="仿宋"/>
          <w:szCs w:val="21"/>
        </w:rPr>
        <w:t>⑦临时加货处理：对于采购人临时有客餐任务或临时增加员工用餐时，中标供应商需在接到采购人口头或书面通知1小时内将货物送到采购人的指定地点，派专人负责跟踪服务，保证用餐正常。</w:t>
      </w:r>
    </w:p>
    <w:p>
      <w:pPr>
        <w:ind w:firstLine="420" w:firstLineChars="200"/>
        <w:rPr>
          <w:rFonts w:hAnsi="宋体" w:cs="仿宋"/>
          <w:bCs/>
          <w:szCs w:val="21"/>
        </w:rPr>
      </w:pPr>
      <w:r>
        <w:rPr>
          <w:rFonts w:hint="eastAsia" w:hAnsi="宋体" w:cs="仿宋"/>
          <w:szCs w:val="21"/>
        </w:rPr>
        <w:t>⑧在供货过程中，采购人对所供货物有任何意见，可随时向中标供应商反</w:t>
      </w:r>
      <w:r>
        <w:rPr>
          <w:rFonts w:hint="eastAsia" w:hAnsi="宋体" w:cs="仿宋"/>
          <w:bCs/>
          <w:szCs w:val="21"/>
        </w:rPr>
        <w:t>映，中标供应商应及时改进，否则，采购人有权中断与中标供应商的合作，一方终止合同须提前五个工作日通知对方。</w:t>
      </w:r>
    </w:p>
    <w:p>
      <w:pPr>
        <w:ind w:firstLine="420" w:firstLineChars="200"/>
        <w:rPr>
          <w:rFonts w:hAnsi="宋体" w:cs="仿宋"/>
          <w:szCs w:val="21"/>
        </w:rPr>
      </w:pPr>
      <w:r>
        <w:rPr>
          <w:rFonts w:hint="eastAsia" w:hAnsi="宋体" w:cs="仿宋"/>
          <w:bCs/>
          <w:szCs w:val="21"/>
        </w:rPr>
        <w:t>⑨因配送运输中出现人身安全事故，中标供应商独立承担一切刑事、民事责任，与采购人</w:t>
      </w:r>
      <w:r>
        <w:rPr>
          <w:rFonts w:hint="eastAsia" w:hAnsi="宋体" w:cs="仿宋"/>
          <w:szCs w:val="21"/>
        </w:rPr>
        <w:t>无关。</w:t>
      </w:r>
    </w:p>
    <w:p>
      <w:pPr>
        <w:ind w:firstLine="420" w:firstLineChars="200"/>
        <w:rPr>
          <w:rFonts w:hAnsi="宋体" w:cs="仿宋"/>
          <w:szCs w:val="21"/>
        </w:rPr>
      </w:pPr>
      <w:r>
        <w:rPr>
          <w:rFonts w:hint="eastAsia" w:hAnsi="宋体" w:cs="仿宋"/>
          <w:szCs w:val="21"/>
        </w:rPr>
        <w:t>⑩中标供应商应随时按采购人要求提供各类货物清晰准确的原产地以及检测报告。</w:t>
      </w:r>
    </w:p>
    <w:p>
      <w:pPr>
        <w:ind w:firstLine="420" w:firstLineChars="200"/>
        <w:rPr>
          <w:rFonts w:ascii="Cambria Math" w:hAnsi="Cambria Math" w:cs="Cambria Math"/>
          <w:szCs w:val="21"/>
        </w:rPr>
        <w:sectPr>
          <w:footerReference r:id="rId16" w:type="first"/>
          <w:footerReference r:id="rId15" w:type="default"/>
          <w:pgSz w:w="11906" w:h="16838"/>
          <w:pgMar w:top="1134" w:right="1134" w:bottom="1134" w:left="1418" w:header="851" w:footer="992" w:gutter="0"/>
          <w:pgNumType w:fmt="decimal"/>
          <w:cols w:space="720" w:num="1"/>
          <w:titlePg/>
          <w:docGrid w:type="lines" w:linePitch="462" w:charSpace="0"/>
        </w:sectPr>
      </w:pPr>
    </w:p>
    <w:p>
      <w:pPr>
        <w:ind w:firstLine="420" w:firstLineChars="200"/>
        <w:rPr>
          <w:rFonts w:hAnsi="宋体" w:cs="仿宋"/>
          <w:szCs w:val="21"/>
        </w:rPr>
      </w:pPr>
      <w:r>
        <w:rPr>
          <w:rFonts w:ascii="Cambria Math" w:hAnsi="Cambria Math" w:cs="Cambria Math"/>
          <w:szCs w:val="21"/>
        </w:rPr>
        <w:t>⑪</w:t>
      </w:r>
      <w:r>
        <w:rPr>
          <w:rFonts w:hint="eastAsia" w:hAnsi="宋体" w:cs="仿宋"/>
          <w:szCs w:val="21"/>
        </w:rPr>
        <w:t>中标供应商应该按照采购人的要求，建立完整的各类物品追踪溯源体系，应当建立专门台账，按深圳市《食品进货索证和台账登记本》模板，按格式如实记录配送给采购人的各类物品，留存相关检验合格证明、资质证明、营业执照等有效资料，并可追踪溯源，采购人有权定期检查。</w:t>
      </w:r>
    </w:p>
    <w:p>
      <w:pPr>
        <w:ind w:firstLine="420" w:firstLineChars="200"/>
        <w:rPr>
          <w:rFonts w:hAnsi="宋体" w:cs="仿宋"/>
          <w:szCs w:val="21"/>
        </w:rPr>
      </w:pPr>
      <w:r>
        <w:rPr>
          <w:rFonts w:ascii="Cambria Math" w:hAnsi="Cambria Math" w:cs="Cambria Math"/>
          <w:szCs w:val="21"/>
        </w:rPr>
        <w:t>⑫</w:t>
      </w:r>
      <w:r>
        <w:rPr>
          <w:rFonts w:hint="eastAsia" w:hAnsi="宋体" w:cs="仿宋"/>
          <w:szCs w:val="21"/>
        </w:rPr>
        <w:t>采购人有权对中标供应商配送的各类物品自行或者委托第三方检测机构进行检测，按国家有关标准，若检测不合格，采购人予以书面警告，并对该批货物予以没收销毁，不必退还中标供应商，防止二次流通至社会市场；书面警告后再出现同样情况，视情况严重性，采购人有权扣除中标供应商当天总货款的10％或直接单方解除服务合同，并不用对中标供应商做任何赔偿。</w:t>
      </w:r>
    </w:p>
    <w:p>
      <w:pPr>
        <w:ind w:firstLine="420" w:firstLineChars="200"/>
        <w:rPr>
          <w:rFonts w:hAnsi="宋体" w:cs="仿宋"/>
          <w:szCs w:val="21"/>
        </w:rPr>
      </w:pPr>
      <w:r>
        <w:rPr>
          <w:rFonts w:ascii="Cambria Math" w:hAnsi="Cambria Math" w:cs="Cambria Math"/>
          <w:kern w:val="2"/>
          <w:szCs w:val="21"/>
        </w:rPr>
        <w:t>⑬</w:t>
      </w:r>
      <w:r>
        <w:rPr>
          <w:rFonts w:hint="eastAsia" w:hAnsi="宋体" w:cs="仿宋"/>
          <w:kern w:val="2"/>
          <w:szCs w:val="21"/>
        </w:rPr>
        <w:t>中标供应商若因采购物资现场初加工的实际需要，采购人可提供初加工操作场地，但中标供应商应服从采购人的管理，严格遵守国家的有关法律法规。若有违反，首次发现采购人将予以书面警告；书面警告后再出现同类情况，采购人有权扣除供货商方当天总货款的10％；屡禁不止、情节严重的，采购人有权没收履约保证金，且采购人可直接解除服务合同。</w:t>
      </w:r>
    </w:p>
    <w:p>
      <w:pPr>
        <w:rPr>
          <w:b/>
          <w:bCs/>
        </w:rPr>
      </w:pPr>
      <w:r>
        <w:rPr>
          <w:rFonts w:hint="eastAsia"/>
          <w:b/>
          <w:bCs/>
        </w:rPr>
        <w:t>2</w:t>
      </w:r>
      <w:r>
        <w:rPr>
          <w:b/>
          <w:bCs/>
        </w:rPr>
        <w:t>.</w:t>
      </w:r>
      <w:r>
        <w:rPr>
          <w:rFonts w:hint="eastAsia"/>
          <w:b/>
          <w:bCs/>
        </w:rPr>
        <w:t>工作时间要求</w:t>
      </w:r>
    </w:p>
    <w:p>
      <w:pPr>
        <w:ind w:firstLine="420" w:firstLineChars="200"/>
        <w:rPr>
          <w:rFonts w:hAnsi="宋体" w:cs="仿宋"/>
          <w:kern w:val="2"/>
          <w:szCs w:val="21"/>
        </w:rPr>
      </w:pPr>
      <w:r>
        <w:rPr>
          <w:rFonts w:hint="eastAsia" w:hAnsi="宋体" w:cs="仿宋"/>
          <w:kern w:val="2"/>
          <w:szCs w:val="21"/>
        </w:rPr>
        <w:t>材料必须在工作日早上6点前送达采购人指定地点。应急工作加班用餐等特殊情况需另外送材料，需于下单后1小时内补送到场，价格按照附近市场价付款。</w:t>
      </w:r>
    </w:p>
    <w:p>
      <w:pPr>
        <w:rPr>
          <w:b/>
          <w:bCs/>
        </w:rPr>
      </w:pPr>
      <w:r>
        <w:rPr>
          <w:rFonts w:hint="eastAsia"/>
          <w:b/>
          <w:bCs/>
        </w:rPr>
        <w:t>3</w:t>
      </w:r>
      <w:r>
        <w:rPr>
          <w:b/>
          <w:bCs/>
        </w:rPr>
        <w:t>.</w:t>
      </w:r>
      <w:r>
        <w:rPr>
          <w:rFonts w:hint="eastAsia"/>
          <w:b/>
          <w:bCs/>
        </w:rPr>
        <w:t>质量标准</w:t>
      </w:r>
    </w:p>
    <w:p>
      <w:pPr>
        <w:ind w:firstLine="420" w:firstLineChars="200"/>
        <w:rPr>
          <w:rFonts w:hAnsi="宋体" w:cs="仿宋"/>
          <w:kern w:val="2"/>
          <w:szCs w:val="21"/>
        </w:rPr>
      </w:pPr>
      <w:r>
        <w:rPr>
          <w:rFonts w:hint="eastAsia" w:hAnsi="宋体" w:cs="仿宋"/>
          <w:kern w:val="2"/>
          <w:szCs w:val="21"/>
        </w:rPr>
        <w:t>《中华人民共和国食品安全法》、《餐饮业和集体用餐配送单位卫生规范》、产品国家标准等。</w:t>
      </w:r>
    </w:p>
    <w:p>
      <w:pPr>
        <w:rPr>
          <w:b/>
          <w:bCs/>
        </w:rPr>
      </w:pPr>
      <w:r>
        <w:rPr>
          <w:rFonts w:hint="eastAsia"/>
          <w:b/>
          <w:bCs/>
        </w:rPr>
        <w:t>4</w:t>
      </w:r>
      <w:r>
        <w:rPr>
          <w:b/>
          <w:bCs/>
        </w:rPr>
        <w:t>.</w:t>
      </w:r>
      <w:r>
        <w:rPr>
          <w:rFonts w:hint="eastAsia"/>
          <w:b/>
          <w:bCs/>
        </w:rPr>
        <w:t>人员要求</w:t>
      </w:r>
    </w:p>
    <w:p>
      <w:pPr>
        <w:ind w:firstLine="420" w:firstLineChars="200"/>
        <w:rPr>
          <w:rFonts w:hAnsi="宋体" w:cs="仿宋"/>
          <w:kern w:val="2"/>
          <w:szCs w:val="21"/>
        </w:rPr>
      </w:pPr>
      <w:r>
        <w:rPr>
          <w:rFonts w:hint="eastAsia" w:hAnsi="宋体" w:cs="仿宋"/>
          <w:kern w:val="2"/>
          <w:szCs w:val="21"/>
        </w:rPr>
        <w:t>①中标供应商所有员工凭健康证上岗，同时应成立食堂配送项目专项服务小组，负责相关工作及提供各种服务。</w:t>
      </w:r>
    </w:p>
    <w:p>
      <w:pPr>
        <w:ind w:firstLine="420" w:firstLineChars="200"/>
        <w:rPr>
          <w:rFonts w:hAnsi="宋体" w:cs="仿宋"/>
          <w:kern w:val="2"/>
          <w:szCs w:val="21"/>
        </w:rPr>
      </w:pPr>
      <w:r>
        <w:rPr>
          <w:rFonts w:hint="eastAsia" w:hAnsi="宋体" w:cs="仿宋"/>
          <w:kern w:val="2"/>
          <w:szCs w:val="21"/>
        </w:rPr>
        <w:t>②每次配送人员不少于3人，司机1人。</w:t>
      </w:r>
    </w:p>
    <w:p>
      <w:pPr>
        <w:rPr>
          <w:b/>
          <w:bCs/>
        </w:rPr>
      </w:pPr>
      <w:r>
        <w:rPr>
          <w:rFonts w:hint="eastAsia"/>
          <w:b/>
          <w:bCs/>
        </w:rPr>
        <w:t>5</w:t>
      </w:r>
      <w:r>
        <w:rPr>
          <w:b/>
          <w:bCs/>
        </w:rPr>
        <w:t>.</w:t>
      </w:r>
      <w:r>
        <w:rPr>
          <w:rFonts w:hint="eastAsia"/>
          <w:b/>
          <w:bCs/>
        </w:rPr>
        <w:t>设备要求</w:t>
      </w:r>
    </w:p>
    <w:p>
      <w:pPr>
        <w:ind w:firstLine="420" w:firstLineChars="200"/>
        <w:rPr>
          <w:rFonts w:hAnsi="宋体" w:cs="仿宋"/>
          <w:kern w:val="2"/>
          <w:szCs w:val="21"/>
        </w:rPr>
      </w:pPr>
      <w:r>
        <w:rPr>
          <w:rFonts w:hint="eastAsia" w:hAnsi="宋体" w:cs="仿宋"/>
          <w:kern w:val="2"/>
          <w:szCs w:val="21"/>
        </w:rPr>
        <w:t>拥有自有或租赁的配送场地及冷库、配送车辆。</w:t>
      </w:r>
    </w:p>
    <w:p>
      <w:pPr>
        <w:pStyle w:val="3"/>
        <w:ind w:firstLine="487"/>
        <w:rPr>
          <w:b/>
          <w:sz w:val="24"/>
        </w:rPr>
      </w:pPr>
      <w:bookmarkStart w:id="68" w:name="_Toc120892145"/>
      <w:r>
        <w:rPr>
          <w:rFonts w:hint="eastAsia"/>
          <w:b/>
          <w:sz w:val="24"/>
        </w:rPr>
        <w:t>四、商务需求</w:t>
      </w:r>
      <w:bookmarkEnd w:id="68"/>
    </w:p>
    <w:p>
      <w:pPr>
        <w:rPr>
          <w:b/>
          <w:bCs/>
        </w:rPr>
      </w:pPr>
      <w:r>
        <w:rPr>
          <w:rFonts w:hint="eastAsia"/>
          <w:b/>
          <w:bCs/>
        </w:rPr>
        <w:t>1</w:t>
      </w:r>
      <w:r>
        <w:rPr>
          <w:b/>
          <w:bCs/>
        </w:rPr>
        <w:t>.</w:t>
      </w:r>
      <w:r>
        <w:rPr>
          <w:rFonts w:hint="eastAsia"/>
          <w:b/>
          <w:bCs/>
        </w:rPr>
        <w:t>服务范围：</w:t>
      </w:r>
    </w:p>
    <w:tbl>
      <w:tblPr>
        <w:tblStyle w:val="85"/>
        <w:tblW w:w="8275"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356" w:type="dxa"/>
            <w:vAlign w:val="center"/>
          </w:tcPr>
          <w:p>
            <w:pPr>
              <w:widowControl w:val="0"/>
              <w:shd w:val="clear" w:color="auto" w:fill="auto"/>
              <w:tabs>
                <w:tab w:val="left" w:pos="851"/>
                <w:tab w:val="clear" w:pos="426"/>
              </w:tabs>
              <w:adjustRightInd/>
              <w:snapToGrid/>
              <w:spacing w:line="240" w:lineRule="auto"/>
              <w:jc w:val="center"/>
              <w:rPr>
                <w:rFonts w:cs="仿宋" w:asciiTheme="minorEastAsia" w:hAnsiTheme="minorEastAsia" w:eastAsiaTheme="minorEastAsia"/>
                <w:b/>
                <w:kern w:val="2"/>
                <w:szCs w:val="21"/>
              </w:rPr>
            </w:pPr>
            <w:r>
              <w:rPr>
                <w:rFonts w:hint="eastAsia" w:cs="仿宋" w:asciiTheme="minorEastAsia" w:hAnsiTheme="minorEastAsia" w:eastAsiaTheme="minorEastAsia"/>
                <w:b/>
                <w:kern w:val="2"/>
                <w:szCs w:val="21"/>
              </w:rPr>
              <w:t>包号</w:t>
            </w:r>
          </w:p>
        </w:tc>
        <w:tc>
          <w:tcPr>
            <w:tcW w:w="6919" w:type="dxa"/>
            <w:vAlign w:val="center"/>
          </w:tcPr>
          <w:p>
            <w:pPr>
              <w:widowControl w:val="0"/>
              <w:shd w:val="clear" w:color="auto" w:fill="auto"/>
              <w:tabs>
                <w:tab w:val="left" w:pos="851"/>
                <w:tab w:val="clear" w:pos="426"/>
              </w:tabs>
              <w:adjustRightInd/>
              <w:snapToGrid/>
              <w:spacing w:line="240" w:lineRule="auto"/>
              <w:jc w:val="center"/>
              <w:rPr>
                <w:rFonts w:cs="仿宋" w:asciiTheme="minorEastAsia" w:hAnsiTheme="minorEastAsia" w:eastAsiaTheme="minorEastAsia"/>
                <w:b/>
                <w:kern w:val="2"/>
                <w:szCs w:val="21"/>
              </w:rPr>
            </w:pPr>
            <w:r>
              <w:rPr>
                <w:rFonts w:hint="eastAsia" w:cs="仿宋" w:asciiTheme="minorEastAsia" w:hAnsiTheme="minorEastAsia" w:eastAsiaTheme="minorEastAsia"/>
                <w:b/>
                <w:kern w:val="2"/>
                <w:szCs w:val="21"/>
              </w:rPr>
              <w:t>食堂配菜服务区域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356" w:type="dxa"/>
            <w:vAlign w:val="center"/>
          </w:tcPr>
          <w:p>
            <w:pPr>
              <w:widowControl w:val="0"/>
              <w:shd w:val="clear" w:color="auto" w:fill="auto"/>
              <w:tabs>
                <w:tab w:val="left" w:pos="851"/>
                <w:tab w:val="clear" w:pos="426"/>
              </w:tabs>
              <w:adjustRightInd/>
              <w:snapToGrid/>
              <w:spacing w:line="240" w:lineRule="auto"/>
              <w:jc w:val="center"/>
              <w:rPr>
                <w:rFonts w:cs="仿宋" w:asciiTheme="minorEastAsia" w:hAnsiTheme="minorEastAsia" w:eastAsiaTheme="minorEastAsia"/>
                <w:b/>
                <w:kern w:val="2"/>
                <w:szCs w:val="21"/>
              </w:rPr>
            </w:pPr>
            <w:r>
              <w:rPr>
                <w:rFonts w:hint="eastAsia" w:cs="仿宋" w:asciiTheme="minorEastAsia" w:hAnsiTheme="minorEastAsia" w:eastAsiaTheme="minorEastAsia"/>
                <w:b/>
                <w:kern w:val="2"/>
                <w:szCs w:val="21"/>
              </w:rPr>
              <w:t>A包</w:t>
            </w:r>
          </w:p>
        </w:tc>
        <w:tc>
          <w:tcPr>
            <w:tcW w:w="6919" w:type="dxa"/>
            <w:vAlign w:val="center"/>
          </w:tcPr>
          <w:p>
            <w:pPr>
              <w:widowControl w:val="0"/>
              <w:shd w:val="clear" w:color="auto" w:fill="auto"/>
              <w:tabs>
                <w:tab w:val="left" w:pos="851"/>
                <w:tab w:val="clear" w:pos="426"/>
              </w:tabs>
              <w:adjustRightInd/>
              <w:snapToGrid/>
              <w:spacing w:line="240" w:lineRule="auto"/>
              <w:jc w:val="center"/>
              <w:rPr>
                <w:rFonts w:cs="仿宋" w:asciiTheme="minorEastAsia" w:hAnsiTheme="minorEastAsia" w:eastAsiaTheme="minorEastAsia"/>
                <w:kern w:val="2"/>
                <w:szCs w:val="21"/>
              </w:rPr>
            </w:pPr>
            <w:r>
              <w:rPr>
                <w:rFonts w:hint="eastAsia" w:cs="仿宋" w:asciiTheme="minorEastAsia" w:hAnsiTheme="minorEastAsia" w:eastAsiaTheme="minorEastAsia"/>
                <w:kern w:val="2"/>
                <w:szCs w:val="21"/>
              </w:rPr>
              <w:t>沙井消防救援站、松岗消防救援站及下属分队片区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56" w:type="dxa"/>
            <w:vAlign w:val="center"/>
          </w:tcPr>
          <w:p>
            <w:pPr>
              <w:widowControl w:val="0"/>
              <w:shd w:val="clear" w:color="auto" w:fill="auto"/>
              <w:tabs>
                <w:tab w:val="left" w:pos="851"/>
                <w:tab w:val="clear" w:pos="426"/>
              </w:tabs>
              <w:adjustRightInd/>
              <w:snapToGrid/>
              <w:spacing w:line="240" w:lineRule="auto"/>
              <w:jc w:val="center"/>
              <w:rPr>
                <w:rFonts w:cs="仿宋" w:asciiTheme="minorEastAsia" w:hAnsiTheme="minorEastAsia" w:eastAsiaTheme="minorEastAsia"/>
                <w:b/>
                <w:kern w:val="2"/>
                <w:szCs w:val="21"/>
              </w:rPr>
            </w:pPr>
            <w:r>
              <w:rPr>
                <w:rFonts w:hint="eastAsia" w:cs="仿宋" w:asciiTheme="minorEastAsia" w:hAnsiTheme="minorEastAsia" w:eastAsiaTheme="minorEastAsia"/>
                <w:b/>
                <w:kern w:val="2"/>
                <w:szCs w:val="21"/>
              </w:rPr>
              <w:t>B包</w:t>
            </w:r>
          </w:p>
        </w:tc>
        <w:tc>
          <w:tcPr>
            <w:tcW w:w="6919" w:type="dxa"/>
            <w:vAlign w:val="center"/>
          </w:tcPr>
          <w:p>
            <w:pPr>
              <w:widowControl w:val="0"/>
              <w:shd w:val="clear" w:color="auto" w:fill="auto"/>
              <w:tabs>
                <w:tab w:val="left" w:pos="851"/>
                <w:tab w:val="clear" w:pos="426"/>
              </w:tabs>
              <w:adjustRightInd/>
              <w:snapToGrid/>
              <w:spacing w:line="240" w:lineRule="auto"/>
              <w:jc w:val="center"/>
              <w:rPr>
                <w:rFonts w:cs="仿宋" w:asciiTheme="minorEastAsia" w:hAnsiTheme="minorEastAsia" w:eastAsiaTheme="minorEastAsia"/>
                <w:kern w:val="2"/>
                <w:szCs w:val="21"/>
              </w:rPr>
            </w:pPr>
            <w:r>
              <w:rPr>
                <w:rFonts w:hint="eastAsia" w:cs="仿宋" w:asciiTheme="minorEastAsia" w:hAnsiTheme="minorEastAsia" w:eastAsiaTheme="minorEastAsia"/>
                <w:kern w:val="2"/>
                <w:szCs w:val="21"/>
              </w:rPr>
              <w:t>大队部、西乡消防救援站、福永消防救援站及下属分队片区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56" w:type="dxa"/>
            <w:vAlign w:val="center"/>
          </w:tcPr>
          <w:p>
            <w:pPr>
              <w:widowControl w:val="0"/>
              <w:shd w:val="clear" w:color="auto" w:fill="auto"/>
              <w:tabs>
                <w:tab w:val="left" w:pos="851"/>
                <w:tab w:val="clear" w:pos="426"/>
              </w:tabs>
              <w:adjustRightInd/>
              <w:snapToGrid/>
              <w:spacing w:line="240" w:lineRule="auto"/>
              <w:jc w:val="center"/>
              <w:rPr>
                <w:rFonts w:cs="仿宋" w:asciiTheme="minorEastAsia" w:hAnsiTheme="minorEastAsia" w:eastAsiaTheme="minorEastAsia"/>
                <w:b/>
                <w:kern w:val="2"/>
                <w:szCs w:val="21"/>
              </w:rPr>
            </w:pPr>
            <w:r>
              <w:rPr>
                <w:rFonts w:hint="eastAsia" w:cs="仿宋" w:asciiTheme="minorEastAsia" w:hAnsiTheme="minorEastAsia" w:eastAsiaTheme="minorEastAsia"/>
                <w:b/>
                <w:kern w:val="2"/>
                <w:szCs w:val="21"/>
              </w:rPr>
              <w:t>C包</w:t>
            </w:r>
          </w:p>
        </w:tc>
        <w:tc>
          <w:tcPr>
            <w:tcW w:w="6919" w:type="dxa"/>
            <w:vAlign w:val="center"/>
          </w:tcPr>
          <w:p>
            <w:pPr>
              <w:widowControl w:val="0"/>
              <w:shd w:val="clear" w:color="auto" w:fill="auto"/>
              <w:tabs>
                <w:tab w:val="left" w:pos="851"/>
                <w:tab w:val="clear" w:pos="426"/>
              </w:tabs>
              <w:adjustRightInd/>
              <w:snapToGrid/>
              <w:spacing w:line="240" w:lineRule="auto"/>
              <w:jc w:val="center"/>
              <w:rPr>
                <w:rFonts w:cs="仿宋" w:asciiTheme="minorEastAsia" w:hAnsiTheme="minorEastAsia" w:eastAsiaTheme="minorEastAsia"/>
                <w:kern w:val="2"/>
                <w:szCs w:val="21"/>
              </w:rPr>
            </w:pPr>
            <w:r>
              <w:rPr>
                <w:rFonts w:hint="eastAsia" w:cs="仿宋" w:asciiTheme="minorEastAsia" w:hAnsiTheme="minorEastAsia" w:eastAsiaTheme="minorEastAsia"/>
                <w:kern w:val="2"/>
                <w:szCs w:val="21"/>
              </w:rPr>
              <w:t>宝安消防救援站、石岩消防救援站及下属分队片区</w:t>
            </w:r>
          </w:p>
        </w:tc>
      </w:tr>
    </w:tbl>
    <w:p>
      <w:pPr>
        <w:ind w:firstLine="420" w:firstLineChars="200"/>
        <w:rPr>
          <w:rFonts w:hAnsi="宋体" w:cs="仿宋"/>
          <w:kern w:val="2"/>
          <w:szCs w:val="21"/>
        </w:rPr>
      </w:pPr>
      <w:r>
        <w:rPr>
          <w:rFonts w:hint="eastAsia" w:hAnsi="宋体" w:cs="仿宋"/>
          <w:kern w:val="2"/>
          <w:szCs w:val="21"/>
        </w:rPr>
        <w:t>项目共计约120个食堂，A包共计约55个食堂，B包共计约38个食堂，C包共计约27个食堂。</w:t>
      </w:r>
    </w:p>
    <w:p>
      <w:pPr>
        <w:rPr>
          <w:b/>
          <w:bCs/>
        </w:rPr>
      </w:pPr>
      <w:r>
        <w:rPr>
          <w:rFonts w:hint="eastAsia"/>
          <w:b/>
          <w:bCs/>
        </w:rPr>
        <w:t>2</w:t>
      </w:r>
      <w:r>
        <w:rPr>
          <w:b/>
          <w:bCs/>
        </w:rPr>
        <w:t>.</w:t>
      </w:r>
      <w:r>
        <w:rPr>
          <w:rFonts w:hint="eastAsia"/>
          <w:b/>
          <w:bCs/>
        </w:rPr>
        <w:t>配送种类：</w:t>
      </w:r>
    </w:p>
    <w:p>
      <w:pPr>
        <w:ind w:firstLine="420" w:firstLineChars="200"/>
        <w:rPr>
          <w:rFonts w:hAnsi="宋体" w:cs="仿宋"/>
          <w:kern w:val="2"/>
          <w:szCs w:val="21"/>
        </w:rPr>
      </w:pPr>
      <w:r>
        <w:rPr>
          <w:rFonts w:hint="eastAsia" w:hAnsi="宋体" w:cs="仿宋"/>
          <w:kern w:val="2"/>
          <w:szCs w:val="21"/>
        </w:rPr>
        <w:t>配送食材种类：蔬菜类、鲜肉类、水产类、冻品、水果、米、面、油、副食、干货、杂货、牛奶、糕点、调配料等食材配送。</w:t>
      </w:r>
    </w:p>
    <w:p>
      <w:pPr>
        <w:rPr>
          <w:b/>
          <w:bCs/>
        </w:rPr>
      </w:pPr>
      <w:bookmarkStart w:id="69" w:name="Fivetoubiaobaojia6"/>
      <w:bookmarkEnd w:id="69"/>
      <w:r>
        <w:rPr>
          <w:rFonts w:hint="eastAsia"/>
          <w:b/>
          <w:bCs/>
        </w:rPr>
        <w:t>3</w:t>
      </w:r>
      <w:r>
        <w:rPr>
          <w:b/>
          <w:bCs/>
        </w:rPr>
        <w:t>.</w:t>
      </w:r>
      <w:r>
        <w:rPr>
          <w:rFonts w:hint="eastAsia"/>
          <w:b/>
          <w:bCs/>
        </w:rPr>
        <w:t>报价要求</w:t>
      </w:r>
    </w:p>
    <w:p>
      <w:pPr>
        <w:ind w:firstLine="420" w:firstLineChars="200"/>
        <w:rPr>
          <w:rFonts w:hAnsi="宋体" w:cs="仿宋"/>
          <w:kern w:val="2"/>
          <w:szCs w:val="21"/>
        </w:rPr>
      </w:pPr>
      <w:r>
        <w:rPr>
          <w:rFonts w:hint="eastAsia" w:hAnsi="宋体" w:cs="仿宋"/>
          <w:kern w:val="2"/>
          <w:szCs w:val="21"/>
        </w:rPr>
        <w:t>①本项目年度总支付预算金额为：A包年度预算支付上限约2040.89万元、B包年度预算支付上限约1547.18万元、C包年度预算支付上限约1285.52万元，最终以实际结算为准。</w:t>
      </w:r>
    </w:p>
    <w:p>
      <w:pPr>
        <w:ind w:firstLine="420" w:firstLineChars="200"/>
        <w:rPr>
          <w:rFonts w:hAnsi="宋体" w:cs="仿宋"/>
          <w:kern w:val="2"/>
          <w:szCs w:val="21"/>
        </w:rPr>
      </w:pPr>
      <w:r>
        <w:rPr>
          <w:rFonts w:hint="eastAsia" w:hAnsi="宋体" w:cs="仿宋"/>
          <w:kern w:val="2"/>
          <w:szCs w:val="21"/>
        </w:rPr>
        <w:t>②本项目的投标价格为折扣率报价。</w:t>
      </w:r>
    </w:p>
    <w:p>
      <w:pPr>
        <w:ind w:firstLine="420" w:firstLineChars="200"/>
        <w:rPr>
          <w:rFonts w:hAnsi="宋体" w:cs="仿宋"/>
          <w:kern w:val="2"/>
          <w:szCs w:val="21"/>
        </w:rPr>
      </w:pPr>
      <w:r>
        <w:rPr>
          <w:rFonts w:hint="eastAsia" w:hAnsi="宋体" w:cs="仿宋"/>
          <w:kern w:val="2"/>
          <w:szCs w:val="21"/>
        </w:rPr>
        <w:t>★本次招标不涉及具体投标金额（无须投标人在投标文件中填报具体投标金额），投标人只需填报唯一的“折扣率”。投标折扣率=货物实收价（即结算价）/基准价，投标折扣率不能大于1.00，也不能为负数或零，且是固定唯一值的，投标折扣率在服务期限内保持不变（举例说明：若某种货物在中农数据食堂采配平台上的价格为10元/斤，投标折扣率为0.80，实际采购价为10*0.80=8元/斤，则在投标文件开标一览表中的投标折扣率应填0.80），折扣率最多保留小数点后两位，超过两位小数点的，四舍五入。</w:t>
      </w:r>
    </w:p>
    <w:p>
      <w:pPr>
        <w:ind w:firstLine="420" w:firstLineChars="200"/>
        <w:rPr>
          <w:rFonts w:hAnsi="宋体" w:cs="仿宋"/>
          <w:kern w:val="2"/>
          <w:szCs w:val="21"/>
        </w:rPr>
      </w:pPr>
      <w:r>
        <w:rPr>
          <w:rFonts w:hint="eastAsia" w:hAnsi="宋体" w:cs="仿宋"/>
          <w:kern w:val="2"/>
          <w:szCs w:val="21"/>
        </w:rPr>
        <w:t>中农数据网中有价格的产品，以中农数据食堂采配平台（网址：www.chinaap.com）每月5、15、25号（遇法定节假日顺延）公布的价格取平均值为该项物资的基准价（其中蔬菜、鲜肉类产品取精品含费价），投标人结合企业自己的实力报出折扣率；蔬菜和肉类，以中农数据食堂采配平台（http://www.chinaap.com）每月5、15、25号精品含费报价表取三天的平均值（平均值精确到分，即小数点后两位）确定各项物资的基准价，投标人结合企业自己的实力报出折扣率，结算时价格=基准价*折扣率；除蔬菜和肉类，以中农数据网报价的基准含费价进行结算；中农数据网无价格的产品，则按照市场价结算（市场价由招标人组织调查小组到大型超市或农贸市场进行考察后确定合理的市场价）。采购单位所采购的蔬菜和肉类均按精品进行采购，中标单位均应按照相应精品标准进行供货。</w:t>
      </w:r>
    </w:p>
    <w:p>
      <w:pPr>
        <w:rPr>
          <w:b/>
          <w:bCs/>
        </w:rPr>
      </w:pPr>
      <w:r>
        <w:rPr>
          <w:rFonts w:hint="eastAsia"/>
          <w:b/>
          <w:bCs/>
        </w:rPr>
        <w:t>4</w:t>
      </w:r>
      <w:r>
        <w:rPr>
          <w:b/>
          <w:bCs/>
        </w:rPr>
        <w:t>.</w:t>
      </w:r>
      <w:r>
        <w:rPr>
          <w:rFonts w:hint="eastAsia"/>
          <w:b/>
          <w:bCs/>
        </w:rPr>
        <w:t>服务期限</w:t>
      </w:r>
    </w:p>
    <w:p>
      <w:pPr>
        <w:ind w:firstLine="420" w:firstLineChars="200"/>
        <w:rPr>
          <w:rFonts w:hAnsi="宋体" w:cs="仿宋"/>
          <w:kern w:val="2"/>
          <w:szCs w:val="21"/>
        </w:rPr>
      </w:pPr>
      <w:r>
        <w:rPr>
          <w:rFonts w:hint="eastAsia" w:hAnsi="宋体" w:cs="仿宋"/>
          <w:kern w:val="2"/>
          <w:szCs w:val="21"/>
        </w:rPr>
        <w:t>★①服务期限：合同签订后一年。</w:t>
      </w:r>
    </w:p>
    <w:p>
      <w:pPr>
        <w:ind w:firstLine="420" w:firstLineChars="200"/>
        <w:rPr>
          <w:rFonts w:hAnsi="宋体" w:cs="仿宋"/>
          <w:kern w:val="2"/>
          <w:szCs w:val="21"/>
        </w:rPr>
      </w:pPr>
      <w:r>
        <w:rPr>
          <w:rFonts w:hint="eastAsia" w:hAnsi="宋体" w:cs="仿宋"/>
          <w:kern w:val="2"/>
          <w:szCs w:val="21"/>
        </w:rPr>
        <w:t>②服务地点：采购人指定地点。</w:t>
      </w:r>
    </w:p>
    <w:p>
      <w:pPr>
        <w:rPr>
          <w:b/>
          <w:bCs/>
        </w:rPr>
      </w:pPr>
      <w:r>
        <w:rPr>
          <w:rFonts w:hint="eastAsia"/>
          <w:b/>
          <w:bCs/>
        </w:rPr>
        <w:t>5</w:t>
      </w:r>
      <w:r>
        <w:rPr>
          <w:b/>
          <w:bCs/>
        </w:rPr>
        <w:t>.</w:t>
      </w:r>
      <w:r>
        <w:rPr>
          <w:rFonts w:hint="eastAsia"/>
          <w:b/>
          <w:bCs/>
        </w:rPr>
        <w:t>合同类型：</w:t>
      </w:r>
      <w:r>
        <w:rPr>
          <w:rFonts w:hint="eastAsia"/>
        </w:rPr>
        <w:t>服务合同</w:t>
      </w:r>
    </w:p>
    <w:p>
      <w:pPr>
        <w:rPr>
          <w:b/>
          <w:bCs/>
        </w:rPr>
      </w:pPr>
      <w:r>
        <w:rPr>
          <w:rFonts w:hint="eastAsia"/>
          <w:b/>
          <w:bCs/>
        </w:rPr>
        <w:t>6</w:t>
      </w:r>
      <w:r>
        <w:rPr>
          <w:b/>
          <w:bCs/>
        </w:rPr>
        <w:t>.</w:t>
      </w:r>
      <w:r>
        <w:rPr>
          <w:rFonts w:hint="eastAsia"/>
          <w:b/>
          <w:bCs/>
        </w:rPr>
        <w:t>定价方式：</w:t>
      </w:r>
      <w:r>
        <w:rPr>
          <w:rFonts w:hint="eastAsia"/>
        </w:rPr>
        <w:t>固定总价</w:t>
      </w:r>
    </w:p>
    <w:p>
      <w:pPr>
        <w:rPr>
          <w:b/>
          <w:bCs/>
        </w:rPr>
      </w:pPr>
      <w:r>
        <w:rPr>
          <w:rFonts w:hint="eastAsia"/>
          <w:b/>
          <w:bCs/>
        </w:rPr>
        <w:t>7</w:t>
      </w:r>
      <w:r>
        <w:rPr>
          <w:b/>
          <w:bCs/>
        </w:rPr>
        <w:t>.</w:t>
      </w:r>
      <w:r>
        <w:rPr>
          <w:rFonts w:hint="eastAsia"/>
          <w:b/>
          <w:bCs/>
        </w:rPr>
        <w:t>交付验收方案</w:t>
      </w:r>
    </w:p>
    <w:p>
      <w:pPr>
        <w:ind w:firstLine="420" w:firstLineChars="200"/>
        <w:rPr>
          <w:rFonts w:hAnsi="宋体" w:cs="仿宋"/>
          <w:kern w:val="2"/>
          <w:szCs w:val="21"/>
        </w:rPr>
      </w:pPr>
      <w:r>
        <w:rPr>
          <w:rFonts w:hint="eastAsia" w:hAnsi="宋体" w:cs="仿宋"/>
          <w:kern w:val="2"/>
          <w:szCs w:val="21"/>
        </w:rPr>
        <w:t>①交付验收主体：采购人、服务对象。</w:t>
      </w:r>
    </w:p>
    <w:p>
      <w:pPr>
        <w:ind w:firstLine="420" w:firstLineChars="200"/>
        <w:rPr>
          <w:rFonts w:hAnsi="宋体" w:cs="仿宋"/>
          <w:kern w:val="2"/>
          <w:szCs w:val="21"/>
        </w:rPr>
      </w:pPr>
      <w:r>
        <w:rPr>
          <w:rFonts w:hint="eastAsia" w:hAnsi="宋体" w:cs="仿宋"/>
          <w:kern w:val="2"/>
          <w:szCs w:val="21"/>
        </w:rPr>
        <w:t>②交付验收时间：根据采购人要求的时间配送。</w:t>
      </w:r>
    </w:p>
    <w:p>
      <w:pPr>
        <w:ind w:firstLine="420" w:firstLineChars="200"/>
        <w:rPr>
          <w:rFonts w:hAnsi="宋体" w:cs="仿宋"/>
          <w:kern w:val="2"/>
          <w:szCs w:val="21"/>
        </w:rPr>
      </w:pPr>
      <w:r>
        <w:rPr>
          <w:rFonts w:hint="eastAsia" w:hAnsi="宋体" w:cs="仿宋"/>
          <w:kern w:val="2"/>
          <w:szCs w:val="21"/>
        </w:rPr>
        <w:t>③交付验收方式：采取当场验收的方式。</w:t>
      </w:r>
    </w:p>
    <w:p>
      <w:pPr>
        <w:ind w:firstLine="420" w:firstLineChars="200"/>
        <w:rPr>
          <w:rFonts w:hAnsi="宋体" w:cs="仿宋"/>
          <w:kern w:val="2"/>
          <w:szCs w:val="21"/>
        </w:rPr>
      </w:pPr>
      <w:r>
        <w:rPr>
          <w:rFonts w:hint="eastAsia" w:hAnsi="宋体" w:cs="仿宋"/>
          <w:kern w:val="2"/>
          <w:szCs w:val="21"/>
        </w:rPr>
        <w:t>④交付验收程序：按索证→过磅→入库的程序完成验收。</w:t>
      </w:r>
    </w:p>
    <w:p>
      <w:pPr>
        <w:ind w:firstLine="420" w:firstLineChars="200"/>
        <w:rPr>
          <w:rFonts w:hAnsi="宋体" w:cs="仿宋"/>
          <w:kern w:val="2"/>
          <w:szCs w:val="21"/>
        </w:rPr>
      </w:pPr>
      <w:r>
        <w:rPr>
          <w:rFonts w:hint="eastAsia" w:hAnsi="宋体" w:cs="仿宋"/>
          <w:kern w:val="2"/>
          <w:szCs w:val="21"/>
        </w:rPr>
        <w:t>⑤交付验收内容：检验食品的质量要求。</w:t>
      </w:r>
    </w:p>
    <w:p>
      <w:pPr>
        <w:ind w:firstLine="420" w:firstLineChars="200"/>
        <w:rPr>
          <w:rFonts w:hAnsi="宋体" w:cs="仿宋"/>
          <w:kern w:val="2"/>
          <w:szCs w:val="21"/>
        </w:rPr>
      </w:pPr>
      <w:r>
        <w:rPr>
          <w:rFonts w:hint="eastAsia" w:hAnsi="宋体" w:cs="仿宋"/>
          <w:kern w:val="2"/>
          <w:szCs w:val="21"/>
        </w:rPr>
        <w:t>⑥交付验收验收标准：比较相关文件，以确保食品品种符合要求。</w:t>
      </w:r>
    </w:p>
    <w:p>
      <w:pPr>
        <w:rPr>
          <w:b/>
          <w:bCs/>
        </w:rPr>
      </w:pPr>
      <w:r>
        <w:rPr>
          <w:rFonts w:hint="eastAsia"/>
          <w:b/>
          <w:bCs/>
        </w:rPr>
        <w:t>8</w:t>
      </w:r>
      <w:r>
        <w:rPr>
          <w:b/>
          <w:bCs/>
        </w:rPr>
        <w:t>.</w:t>
      </w:r>
      <w:r>
        <w:rPr>
          <w:rFonts w:hint="eastAsia"/>
          <w:b/>
          <w:bCs/>
        </w:rPr>
        <w:t>付款方式</w:t>
      </w:r>
    </w:p>
    <w:p>
      <w:pPr>
        <w:ind w:firstLine="420" w:firstLineChars="200"/>
        <w:rPr>
          <w:rFonts w:hAnsi="宋体" w:cs="仿宋"/>
          <w:kern w:val="2"/>
          <w:szCs w:val="21"/>
        </w:rPr>
      </w:pPr>
      <w:r>
        <w:rPr>
          <w:rFonts w:hint="eastAsia" w:hAnsi="宋体" w:cs="仿宋"/>
          <w:kern w:val="2"/>
          <w:szCs w:val="21"/>
        </w:rPr>
        <w:t>①货款按月结算，在办理付款手续之前双方须对供应货物的品种、数量、单价、金额等进行统计，并核实无误。</w:t>
      </w:r>
    </w:p>
    <w:p>
      <w:pPr>
        <w:ind w:firstLine="420" w:firstLineChars="200"/>
        <w:rPr>
          <w:rFonts w:hAnsi="宋体" w:cs="仿宋"/>
          <w:kern w:val="2"/>
          <w:szCs w:val="21"/>
        </w:rPr>
      </w:pPr>
      <w:r>
        <w:rPr>
          <w:rFonts w:hint="eastAsia" w:hAnsi="宋体" w:cs="仿宋"/>
          <w:kern w:val="2"/>
          <w:szCs w:val="21"/>
        </w:rPr>
        <w:t>②投标人在完成当月供货订单后，于次月10日前凭国家增值税发票向采购人申请付款，采购人收到发票后在10个工作日内办理支付手续。</w:t>
      </w:r>
    </w:p>
    <w:p>
      <w:pPr>
        <w:rPr>
          <w:b/>
          <w:bCs/>
        </w:rPr>
      </w:pPr>
      <w:r>
        <w:rPr>
          <w:rFonts w:hint="eastAsia"/>
          <w:b/>
          <w:bCs/>
        </w:rPr>
        <w:t>9</w:t>
      </w:r>
      <w:r>
        <w:rPr>
          <w:b/>
          <w:bCs/>
        </w:rPr>
        <w:t>.</w:t>
      </w:r>
      <w:r>
        <w:rPr>
          <w:rFonts w:hint="eastAsia"/>
          <w:b/>
          <w:bCs/>
        </w:rPr>
        <w:t>考核方法</w:t>
      </w:r>
    </w:p>
    <w:p>
      <w:pPr>
        <w:ind w:firstLine="420" w:firstLineChars="200"/>
        <w:rPr>
          <w:rFonts w:hAnsi="宋体" w:cs="仿宋"/>
          <w:kern w:val="2"/>
          <w:szCs w:val="21"/>
        </w:rPr>
      </w:pPr>
      <w:r>
        <w:rPr>
          <w:rFonts w:hint="eastAsia" w:hAnsi="宋体" w:cs="仿宋"/>
          <w:kern w:val="2"/>
          <w:szCs w:val="21"/>
        </w:rPr>
        <w:t>考核内容及评分细则按下表执行：</w:t>
      </w:r>
    </w:p>
    <w:tbl>
      <w:tblPr>
        <w:tblStyle w:val="85"/>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884"/>
        <w:gridCol w:w="958"/>
        <w:gridCol w:w="5450"/>
        <w:gridCol w:w="767"/>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Align w:val="center"/>
          </w:tcPr>
          <w:p>
            <w:pPr>
              <w:widowControl w:val="0"/>
              <w:shd w:val="clear" w:color="auto" w:fill="auto"/>
              <w:tabs>
                <w:tab w:val="clear" w:pos="426"/>
              </w:tabs>
              <w:adjustRightInd/>
              <w:snapToGrid/>
              <w:spacing w:line="240" w:lineRule="auto"/>
              <w:jc w:val="center"/>
              <w:rPr>
                <w:rFonts w:hAnsi="宋体" w:cs="仿宋"/>
                <w:b/>
                <w:kern w:val="2"/>
                <w:szCs w:val="21"/>
                <w:lang w:val="zh-CN"/>
              </w:rPr>
            </w:pPr>
            <w:r>
              <w:rPr>
                <w:rFonts w:hint="eastAsia" w:hAnsi="宋体" w:cs="仿宋"/>
                <w:b/>
                <w:kern w:val="2"/>
                <w:szCs w:val="21"/>
                <w:lang w:val="zh-CN"/>
              </w:rPr>
              <w:t>序号</w:t>
            </w:r>
          </w:p>
        </w:tc>
        <w:tc>
          <w:tcPr>
            <w:tcW w:w="884" w:type="dxa"/>
            <w:vAlign w:val="center"/>
          </w:tcPr>
          <w:p>
            <w:pPr>
              <w:widowControl w:val="0"/>
              <w:shd w:val="clear" w:color="auto" w:fill="auto"/>
              <w:tabs>
                <w:tab w:val="clear" w:pos="426"/>
              </w:tabs>
              <w:adjustRightInd/>
              <w:snapToGrid/>
              <w:spacing w:line="240" w:lineRule="auto"/>
              <w:jc w:val="center"/>
              <w:rPr>
                <w:rFonts w:hAnsi="宋体" w:cs="仿宋"/>
                <w:b/>
                <w:kern w:val="2"/>
                <w:szCs w:val="21"/>
                <w:lang w:val="zh-CN"/>
              </w:rPr>
            </w:pPr>
            <w:r>
              <w:rPr>
                <w:rFonts w:hint="eastAsia" w:hAnsi="宋体" w:cs="仿宋"/>
                <w:b/>
                <w:kern w:val="2"/>
                <w:szCs w:val="21"/>
                <w:lang w:val="zh-CN"/>
              </w:rPr>
              <w:t>类别</w:t>
            </w:r>
          </w:p>
        </w:tc>
        <w:tc>
          <w:tcPr>
            <w:tcW w:w="958" w:type="dxa"/>
            <w:vAlign w:val="center"/>
          </w:tcPr>
          <w:p>
            <w:pPr>
              <w:widowControl w:val="0"/>
              <w:shd w:val="clear" w:color="auto" w:fill="auto"/>
              <w:tabs>
                <w:tab w:val="clear" w:pos="426"/>
              </w:tabs>
              <w:adjustRightInd/>
              <w:snapToGrid/>
              <w:spacing w:line="240" w:lineRule="auto"/>
              <w:jc w:val="center"/>
              <w:rPr>
                <w:rFonts w:hAnsi="宋体" w:cs="仿宋"/>
                <w:b/>
                <w:kern w:val="2"/>
                <w:szCs w:val="21"/>
                <w:lang w:val="zh-CN"/>
              </w:rPr>
            </w:pPr>
            <w:r>
              <w:rPr>
                <w:rFonts w:hint="eastAsia" w:hAnsi="宋体" w:cs="仿宋"/>
                <w:b/>
                <w:kern w:val="2"/>
                <w:szCs w:val="21"/>
                <w:lang w:val="zh-CN"/>
              </w:rPr>
              <w:t>内容</w:t>
            </w:r>
          </w:p>
        </w:tc>
        <w:tc>
          <w:tcPr>
            <w:tcW w:w="5450" w:type="dxa"/>
            <w:vAlign w:val="center"/>
          </w:tcPr>
          <w:p>
            <w:pPr>
              <w:widowControl w:val="0"/>
              <w:shd w:val="clear" w:color="auto" w:fill="auto"/>
              <w:tabs>
                <w:tab w:val="clear" w:pos="426"/>
              </w:tabs>
              <w:adjustRightInd/>
              <w:snapToGrid/>
              <w:spacing w:line="240" w:lineRule="auto"/>
              <w:ind w:firstLine="426"/>
              <w:jc w:val="center"/>
              <w:rPr>
                <w:rFonts w:hAnsi="宋体" w:cs="仿宋"/>
                <w:b/>
                <w:kern w:val="2"/>
                <w:szCs w:val="21"/>
                <w:lang w:val="zh-CN"/>
              </w:rPr>
            </w:pPr>
            <w:r>
              <w:rPr>
                <w:rFonts w:hint="eastAsia" w:hAnsi="宋体" w:cs="仿宋"/>
                <w:b/>
                <w:kern w:val="2"/>
                <w:szCs w:val="21"/>
                <w:lang w:val="zh-CN"/>
              </w:rPr>
              <w:t>评分细则</w:t>
            </w:r>
          </w:p>
        </w:tc>
        <w:tc>
          <w:tcPr>
            <w:tcW w:w="767" w:type="dxa"/>
            <w:vAlign w:val="center"/>
          </w:tcPr>
          <w:p>
            <w:pPr>
              <w:widowControl w:val="0"/>
              <w:shd w:val="clear" w:color="auto" w:fill="auto"/>
              <w:tabs>
                <w:tab w:val="clear" w:pos="426"/>
              </w:tabs>
              <w:adjustRightInd/>
              <w:snapToGrid/>
              <w:spacing w:line="240" w:lineRule="auto"/>
              <w:jc w:val="center"/>
              <w:rPr>
                <w:rFonts w:hAnsi="宋体" w:cs="仿宋"/>
                <w:b/>
                <w:kern w:val="2"/>
                <w:szCs w:val="21"/>
                <w:lang w:val="zh-CN"/>
              </w:rPr>
            </w:pPr>
            <w:r>
              <w:rPr>
                <w:rFonts w:hint="eastAsia" w:hAnsi="宋体" w:cs="仿宋"/>
                <w:b/>
                <w:kern w:val="2"/>
                <w:szCs w:val="21"/>
                <w:lang w:val="zh-CN"/>
              </w:rPr>
              <w:t>分值</w:t>
            </w:r>
          </w:p>
        </w:tc>
        <w:tc>
          <w:tcPr>
            <w:tcW w:w="718" w:type="dxa"/>
            <w:vAlign w:val="center"/>
          </w:tcPr>
          <w:p>
            <w:pPr>
              <w:widowControl w:val="0"/>
              <w:shd w:val="clear" w:color="auto" w:fill="auto"/>
              <w:tabs>
                <w:tab w:val="clear" w:pos="426"/>
              </w:tabs>
              <w:adjustRightInd/>
              <w:snapToGrid/>
              <w:spacing w:line="240" w:lineRule="auto"/>
              <w:jc w:val="center"/>
              <w:rPr>
                <w:rFonts w:hAnsi="宋体" w:cs="仿宋"/>
                <w:b/>
                <w:kern w:val="2"/>
                <w:szCs w:val="21"/>
                <w:lang w:val="zh-CN"/>
              </w:rPr>
            </w:pPr>
            <w:r>
              <w:rPr>
                <w:rFonts w:hint="eastAsia" w:hAnsi="宋体" w:cs="仿宋"/>
                <w:b/>
                <w:kern w:val="2"/>
                <w:szCs w:val="21"/>
                <w:lang w:val="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1</w:t>
            </w:r>
          </w:p>
        </w:tc>
        <w:tc>
          <w:tcPr>
            <w:tcW w:w="884"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价格方面</w:t>
            </w: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价格执行情况</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是否依时报价（每月20日前），建立完善的报价机制；是否存在临时补货物品价格虚高的情况；是否存在对账单价格乱报、错报等的情况；是否存在月度结算对账不及时情况。每发现1次，扣2分，累计最高扣分</w:t>
            </w:r>
            <w:r>
              <w:rPr>
                <w:rFonts w:hint="eastAsia" w:hAnsi="宋体" w:cs="仿宋"/>
                <w:kern w:val="2"/>
                <w:szCs w:val="21"/>
              </w:rPr>
              <w:t>10</w:t>
            </w:r>
            <w:r>
              <w:rPr>
                <w:rFonts w:hint="eastAsia" w:hAnsi="宋体" w:cs="仿宋"/>
                <w:kern w:val="2"/>
                <w:szCs w:val="21"/>
                <w:lang w:val="zh-CN"/>
              </w:rPr>
              <w:t>分。</w:t>
            </w:r>
          </w:p>
        </w:tc>
        <w:tc>
          <w:tcPr>
            <w:tcW w:w="767" w:type="dxa"/>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10</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2</w:t>
            </w:r>
          </w:p>
        </w:tc>
        <w:tc>
          <w:tcPr>
            <w:tcW w:w="884" w:type="dxa"/>
            <w:vMerge w:val="restart"/>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质量方面</w:t>
            </w: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物品质量</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配送物品是否存在霉烂、变质、过期、破损、品种不达标等不符质量要求的情况；是否存在以次充好达不到采购人要求的情况。每退换货及时补回的每次扣1分/品种，每退换货未能及时补回的每次扣2分/品种。情节严重的、影响开餐的直接扣10分，累计每月最高扣分1</w:t>
            </w:r>
            <w:r>
              <w:rPr>
                <w:rFonts w:hint="eastAsia" w:hAnsi="宋体" w:cs="仿宋"/>
                <w:kern w:val="2"/>
                <w:szCs w:val="21"/>
              </w:rPr>
              <w:t>0</w:t>
            </w:r>
            <w:r>
              <w:rPr>
                <w:rFonts w:hint="eastAsia" w:hAnsi="宋体" w:cs="仿宋"/>
                <w:kern w:val="2"/>
                <w:szCs w:val="21"/>
                <w:lang w:val="zh-CN"/>
              </w:rPr>
              <w:t>分。</w:t>
            </w:r>
          </w:p>
        </w:tc>
        <w:tc>
          <w:tcPr>
            <w:tcW w:w="767"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25</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884"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食品检测</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采购人对配送物品进行食品安全检测，每发现1项不合格的，直接扣10分。</w:t>
            </w:r>
          </w:p>
        </w:tc>
        <w:tc>
          <w:tcPr>
            <w:tcW w:w="767"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884"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索证制度</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是否建立相应的追踪深渊体系，专门台账档案；是否有清晰的货物来源或产地；是否及时提供相关的票、据、证等材料。每发现1次扣1分/品种，累计每月最高扣分5分。</w:t>
            </w:r>
          </w:p>
        </w:tc>
        <w:tc>
          <w:tcPr>
            <w:tcW w:w="767"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3</w:t>
            </w:r>
          </w:p>
        </w:tc>
        <w:tc>
          <w:tcPr>
            <w:tcW w:w="884"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数量方面</w:t>
            </w: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物品数量</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是否存在缺斤少两的情况；是否按照采购人订单品种和数量进行配送物品。与订单数量相差10%，扣1分；相差20%，扣2分；相差30%，扣5分；与订单品种每缺少1个品种，扣1分；累计每月最高扣分10分。</w:t>
            </w:r>
          </w:p>
        </w:tc>
        <w:tc>
          <w:tcPr>
            <w:tcW w:w="767"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10</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4</w:t>
            </w:r>
          </w:p>
        </w:tc>
        <w:tc>
          <w:tcPr>
            <w:tcW w:w="884" w:type="dxa"/>
            <w:vMerge w:val="restart"/>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时间方面</w:t>
            </w: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配送及时性</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迟于早上（</w:t>
            </w:r>
            <w:r>
              <w:rPr>
                <w:rFonts w:hint="eastAsia" w:hAnsi="宋体" w:cs="仿宋"/>
                <w:kern w:val="2"/>
                <w:szCs w:val="21"/>
              </w:rPr>
              <w:t>6</w:t>
            </w:r>
            <w:r>
              <w:rPr>
                <w:rFonts w:hint="eastAsia" w:hAnsi="宋体" w:cs="仿宋"/>
                <w:kern w:val="2"/>
                <w:szCs w:val="21"/>
                <w:lang w:val="zh-CN"/>
              </w:rPr>
              <w:t>点）配送的，每迟到1次扣</w:t>
            </w:r>
            <w:r>
              <w:rPr>
                <w:rFonts w:hint="eastAsia" w:hAnsi="宋体" w:cs="仿宋"/>
                <w:kern w:val="2"/>
                <w:szCs w:val="21"/>
              </w:rPr>
              <w:t>1</w:t>
            </w:r>
            <w:r>
              <w:rPr>
                <w:rFonts w:hint="eastAsia" w:hAnsi="宋体" w:cs="仿宋"/>
                <w:kern w:val="2"/>
                <w:szCs w:val="21"/>
                <w:lang w:val="zh-CN"/>
              </w:rPr>
              <w:t>分，累计每月最高扣分10分。</w:t>
            </w:r>
          </w:p>
        </w:tc>
        <w:tc>
          <w:tcPr>
            <w:tcW w:w="767"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20</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884"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应急响应时间</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是否按照采购人的要求，以最快的速度，按照招标时的承诺进行应急处理。发现1次扣5分，累计每月最高扣分10分。</w:t>
            </w:r>
          </w:p>
        </w:tc>
        <w:tc>
          <w:tcPr>
            <w:tcW w:w="767"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5</w:t>
            </w:r>
          </w:p>
        </w:tc>
        <w:tc>
          <w:tcPr>
            <w:tcW w:w="884" w:type="dxa"/>
            <w:vMerge w:val="restart"/>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卫生方面</w:t>
            </w: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配送人员</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是否有健康证，是否统一穿工服，是否存在盗取货物等情况，每发现1次扣2分，累计每月最高扣分5分。</w:t>
            </w:r>
          </w:p>
        </w:tc>
        <w:tc>
          <w:tcPr>
            <w:tcW w:w="767"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15</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884"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初加工</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是否严格按照《国家食品卫生标准》、《食品卫生法》等相关规定，对食品进行卫生安全初加工；是否初加工完成后将加工场所垃圾清理干净。每发现1次扣2分，累计每月最高扣分10分。</w:t>
            </w:r>
          </w:p>
        </w:tc>
        <w:tc>
          <w:tcPr>
            <w:tcW w:w="767"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6</w:t>
            </w:r>
          </w:p>
        </w:tc>
        <w:tc>
          <w:tcPr>
            <w:tcW w:w="884" w:type="dxa"/>
            <w:vMerge w:val="restart"/>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态度方面</w:t>
            </w: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服务态度</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供应商服务态度是否良好。每接到1次有效投诉扣5分，累计每月最高扣分10分。</w:t>
            </w:r>
          </w:p>
        </w:tc>
        <w:tc>
          <w:tcPr>
            <w:tcW w:w="767"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20</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884"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反馈整改情况</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是否对采购人的反馈意见进行认真及时的整改，每发现1次扣5分，累计每月最高扣分10分。</w:t>
            </w:r>
          </w:p>
        </w:tc>
        <w:tc>
          <w:tcPr>
            <w:tcW w:w="767"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40" w:type="dxa"/>
            <w:gridSpan w:val="3"/>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总分</w:t>
            </w:r>
          </w:p>
        </w:tc>
        <w:tc>
          <w:tcPr>
            <w:tcW w:w="5450"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767"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100</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bl>
    <w:p>
      <w:pPr>
        <w:rPr>
          <w:rFonts w:hAnsi="宋体" w:cs="仿宋"/>
          <w:b/>
          <w:bCs/>
          <w:kern w:val="2"/>
          <w:szCs w:val="21"/>
        </w:rPr>
      </w:pPr>
      <w:r>
        <w:rPr>
          <w:rFonts w:hint="eastAsia" w:hAnsi="宋体" w:cs="仿宋"/>
          <w:b/>
          <w:bCs/>
          <w:kern w:val="2"/>
          <w:szCs w:val="21"/>
        </w:rPr>
        <w:t>备注：采购人根据考核评分作明每季度供货商履约评价的依据，考核分数大于80分的（含80）为优。</w:t>
      </w:r>
    </w:p>
    <w:p>
      <w:pPr>
        <w:rPr>
          <w:rFonts w:hAnsi="宋体" w:cs="仿宋"/>
          <w:b/>
          <w:bCs/>
          <w:kern w:val="2"/>
          <w:szCs w:val="21"/>
        </w:rPr>
      </w:pPr>
      <w:r>
        <w:rPr>
          <w:rFonts w:hint="eastAsia" w:hAnsi="宋体" w:cs="仿宋"/>
          <w:b/>
          <w:bCs/>
          <w:kern w:val="2"/>
          <w:szCs w:val="21"/>
        </w:rPr>
        <w:t>1</w:t>
      </w:r>
      <w:r>
        <w:rPr>
          <w:rFonts w:hAnsi="宋体" w:cs="仿宋"/>
          <w:b/>
          <w:bCs/>
          <w:kern w:val="2"/>
          <w:szCs w:val="21"/>
        </w:rPr>
        <w:t>0.</w:t>
      </w:r>
      <w:r>
        <w:rPr>
          <w:rFonts w:hint="eastAsia" w:hAnsi="宋体" w:cs="仿宋"/>
          <w:b/>
          <w:bCs/>
          <w:kern w:val="2"/>
          <w:szCs w:val="21"/>
        </w:rPr>
        <w:t>风险管控措施</w:t>
      </w:r>
    </w:p>
    <w:p>
      <w:pPr>
        <w:ind w:firstLine="420" w:firstLineChars="200"/>
        <w:rPr>
          <w:rFonts w:hAnsi="宋体" w:cs="仿宋"/>
          <w:kern w:val="2"/>
          <w:szCs w:val="21"/>
        </w:rPr>
      </w:pPr>
      <w:r>
        <w:rPr>
          <w:rFonts w:hint="eastAsia" w:hAnsi="宋体" w:cs="仿宋"/>
          <w:kern w:val="2"/>
          <w:szCs w:val="21"/>
        </w:rPr>
        <w:t xml:space="preserve">①国家政策变化应对措施：根据要求，重新制定招标文件，开展招标工作。 </w:t>
      </w:r>
    </w:p>
    <w:p>
      <w:pPr>
        <w:ind w:firstLine="420" w:firstLineChars="200"/>
        <w:rPr>
          <w:rFonts w:hAnsi="宋体" w:cs="仿宋"/>
          <w:kern w:val="2"/>
          <w:szCs w:val="21"/>
        </w:rPr>
      </w:pPr>
      <w:r>
        <w:rPr>
          <w:rFonts w:hint="eastAsia" w:hAnsi="宋体" w:cs="仿宋"/>
          <w:kern w:val="2"/>
          <w:szCs w:val="21"/>
        </w:rPr>
        <w:t xml:space="preserve">②实施环境变化应对措施：与乙方协商，签订补充协议，变更服务地点。 </w:t>
      </w:r>
    </w:p>
    <w:p>
      <w:pPr>
        <w:ind w:firstLine="420" w:firstLineChars="200"/>
        <w:rPr>
          <w:rFonts w:hAnsi="宋体" w:cs="仿宋"/>
          <w:kern w:val="2"/>
          <w:szCs w:val="21"/>
        </w:rPr>
      </w:pPr>
      <w:r>
        <w:rPr>
          <w:rFonts w:hint="eastAsia" w:hAnsi="宋体" w:cs="仿宋"/>
          <w:kern w:val="2"/>
          <w:szCs w:val="21"/>
        </w:rPr>
        <w:t>③重大技术变化应对措施：根据要求，与乙方协商，签订补充协议。</w:t>
      </w:r>
    </w:p>
    <w:p>
      <w:pPr>
        <w:ind w:firstLine="420" w:firstLineChars="200"/>
        <w:rPr>
          <w:rFonts w:hAnsi="宋体" w:cs="仿宋"/>
          <w:kern w:val="2"/>
          <w:szCs w:val="21"/>
        </w:rPr>
      </w:pPr>
      <w:r>
        <w:rPr>
          <w:rFonts w:hint="eastAsia" w:hAnsi="宋体" w:cs="仿宋"/>
          <w:kern w:val="2"/>
          <w:szCs w:val="21"/>
        </w:rPr>
        <w:t xml:space="preserve">④预算项目调整应对措施：根据要求，重新制定招标文件，开展招标工作。 </w:t>
      </w:r>
    </w:p>
    <w:p>
      <w:pPr>
        <w:ind w:firstLine="420" w:firstLineChars="200"/>
        <w:rPr>
          <w:rFonts w:hAnsi="宋体" w:cs="仿宋"/>
          <w:kern w:val="2"/>
          <w:szCs w:val="21"/>
        </w:rPr>
      </w:pPr>
      <w:r>
        <w:rPr>
          <w:rFonts w:hint="eastAsia" w:hAnsi="宋体" w:cs="仿宋"/>
          <w:kern w:val="2"/>
          <w:szCs w:val="21"/>
        </w:rPr>
        <w:t xml:space="preserve">⑤因质疑投诉影响采购进度应对措施：根据要求，重新制定招标文件，开展招标工作。 </w:t>
      </w:r>
    </w:p>
    <w:p>
      <w:pPr>
        <w:ind w:firstLine="420" w:firstLineChars="200"/>
        <w:rPr>
          <w:rFonts w:hAnsi="宋体" w:cs="仿宋"/>
          <w:kern w:val="2"/>
          <w:szCs w:val="21"/>
        </w:rPr>
      </w:pPr>
      <w:r>
        <w:rPr>
          <w:rFonts w:hint="eastAsia" w:hAnsi="宋体" w:cs="仿宋"/>
          <w:kern w:val="2"/>
          <w:szCs w:val="21"/>
        </w:rPr>
        <w:t xml:space="preserve">⑥采购失败应对措施：重新制定招标文件，开展招标工作。 </w:t>
      </w:r>
    </w:p>
    <w:p>
      <w:pPr>
        <w:ind w:firstLine="420" w:firstLineChars="200"/>
        <w:rPr>
          <w:rFonts w:hAnsi="宋体" w:cs="仿宋"/>
          <w:kern w:val="2"/>
          <w:szCs w:val="21"/>
        </w:rPr>
      </w:pPr>
      <w:r>
        <w:rPr>
          <w:rFonts w:hint="eastAsia" w:hAnsi="宋体" w:cs="仿宋"/>
          <w:kern w:val="2"/>
          <w:szCs w:val="21"/>
        </w:rPr>
        <w:t>⑦不按规定签订或者履行合同应对措施：重新制定招标文件，开展招标工作。</w:t>
      </w:r>
    </w:p>
    <w:p>
      <w:pPr>
        <w:ind w:firstLine="420" w:firstLineChars="200"/>
        <w:rPr>
          <w:rFonts w:hAnsi="宋体" w:cs="仿宋"/>
          <w:kern w:val="2"/>
          <w:szCs w:val="21"/>
        </w:rPr>
      </w:pPr>
      <w:r>
        <w:rPr>
          <w:rFonts w:hint="eastAsia" w:hAnsi="宋体" w:cs="仿宋"/>
          <w:kern w:val="2"/>
          <w:szCs w:val="21"/>
        </w:rPr>
        <w:t>⑧出现损害国家利益和社会公共利益情形应对措施：重新制定招标文件，开展招标工作。</w:t>
      </w:r>
    </w:p>
    <w:p>
      <w:pPr>
        <w:shd w:val="clear" w:color="auto" w:fill="auto"/>
        <w:tabs>
          <w:tab w:val="clear" w:pos="426"/>
        </w:tabs>
        <w:adjustRightInd/>
        <w:snapToGrid/>
        <w:spacing w:line="240" w:lineRule="auto"/>
        <w:jc w:val="left"/>
        <w:rPr>
          <w:rFonts w:hAnsi="宋体"/>
          <w:kern w:val="2"/>
          <w:szCs w:val="21"/>
        </w:rPr>
      </w:pPr>
      <w:r>
        <w:rPr>
          <w:rFonts w:hAnsi="宋体"/>
          <w:kern w:val="2"/>
          <w:szCs w:val="21"/>
        </w:rPr>
        <w:br w:type="page"/>
      </w:r>
    </w:p>
    <w:p>
      <w:pPr>
        <w:pStyle w:val="62"/>
        <w:tabs>
          <w:tab w:val="clear" w:pos="426"/>
        </w:tabs>
        <w:ind w:firstLine="566"/>
      </w:pPr>
      <w:bookmarkStart w:id="70" w:name="_Toc120892147"/>
      <w:r>
        <w:rPr>
          <w:rFonts w:hint="eastAsia"/>
        </w:rPr>
        <w:t>第四章</w:t>
      </w:r>
      <w:r>
        <w:t xml:space="preserve"> </w:t>
      </w:r>
      <w:r>
        <w:rPr>
          <w:rFonts w:hint="eastAsia"/>
        </w:rPr>
        <w:t>采购合同的签订、履约及验收</w:t>
      </w:r>
      <w:bookmarkEnd w:id="65"/>
      <w:bookmarkEnd w:id="70"/>
    </w:p>
    <w:p>
      <w:pPr>
        <w:tabs>
          <w:tab w:val="clear" w:pos="426"/>
        </w:tabs>
        <w:ind w:firstLine="487"/>
        <w:jc w:val="center"/>
        <w:rPr>
          <w:b/>
          <w:sz w:val="24"/>
        </w:rPr>
      </w:pPr>
      <w:r>
        <w:rPr>
          <w:rFonts w:hint="eastAsia"/>
          <w:b/>
          <w:sz w:val="24"/>
        </w:rPr>
        <w:t>一、重要提示</w:t>
      </w:r>
    </w:p>
    <w:p>
      <w:pPr>
        <w:widowControl w:val="0"/>
        <w:shd w:val="clear" w:color="auto" w:fill="auto"/>
        <w:tabs>
          <w:tab w:val="clear" w:pos="426"/>
        </w:tabs>
        <w:adjustRightInd/>
        <w:snapToGrid/>
        <w:ind w:firstLine="420" w:firstLineChars="200"/>
        <w:rPr>
          <w:rFonts w:cs="Times New Roman"/>
          <w:kern w:val="2"/>
          <w:szCs w:val="21"/>
        </w:rPr>
      </w:pPr>
      <w:bookmarkStart w:id="71" w:name="_Hlk2096823"/>
      <w:r>
        <w:rPr>
          <w:rFonts w:hint="eastAsia" w:cs="Times New Roman"/>
          <w:kern w:val="2"/>
          <w:szCs w:val="21"/>
        </w:rPr>
        <w:t>（一）</w:t>
      </w:r>
      <w:r>
        <w:rPr>
          <w:rFonts w:hint="eastAsia"/>
          <w:szCs w:val="21"/>
        </w:rPr>
        <w:t>中标供应商应在中标通知书发出后立即与采购人取得联系。</w:t>
      </w:r>
      <w:r>
        <w:rPr>
          <w:rFonts w:hint="eastAsia" w:cs="Times New Roman"/>
          <w:kern w:val="2"/>
          <w:szCs w:val="21"/>
        </w:rPr>
        <w:t>中标供应商将于中标通知书发出之日起三十日内，按照招标文件和投标文件内容与采购人签订书面合同，合同书应采用本招标文件规定的合同样本；</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（二）</w:t>
      </w:r>
      <w:r>
        <w:rPr>
          <w:rFonts w:cs="Times New Roman"/>
          <w:kern w:val="2"/>
          <w:szCs w:val="21"/>
        </w:rPr>
        <w:t xml:space="preserve"> </w:t>
      </w:r>
      <w:r>
        <w:rPr>
          <w:rFonts w:hint="eastAsia" w:cs="Times New Roman"/>
          <w:kern w:val="2"/>
          <w:szCs w:val="21"/>
        </w:rPr>
        <w:t>中标供应商应当按照合同约定履行义务，完成中标项目，不得将中标项目转让（转包）给他人；</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（三）</w:t>
      </w:r>
      <w:r>
        <w:rPr>
          <w:rFonts w:cs="Times New Roman"/>
          <w:kern w:val="2"/>
          <w:szCs w:val="21"/>
        </w:rPr>
        <w:t xml:space="preserve"> </w:t>
      </w:r>
      <w:r>
        <w:rPr>
          <w:rFonts w:hint="eastAsia" w:cs="Times New Roman"/>
          <w:kern w:val="2"/>
          <w:szCs w:val="21"/>
        </w:rPr>
        <w:t>采购人与中标供应商签订的合同必须遵守本招标文件的合同条件，并且不得更改合同条件。</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（四）供应商必须诚信投标，对项目需求进行实质性响应。</w:t>
      </w:r>
      <w:bookmarkEnd w:id="71"/>
    </w:p>
    <w:p>
      <w:pPr>
        <w:shd w:val="clear" w:color="auto" w:fill="auto"/>
        <w:tabs>
          <w:tab w:val="clear" w:pos="426"/>
        </w:tabs>
        <w:adjustRightInd/>
        <w:snapToGrid/>
        <w:spacing w:line="240" w:lineRule="auto"/>
        <w:ind w:firstLine="485"/>
        <w:jc w:val="left"/>
        <w:rPr>
          <w:rFonts w:ascii="Times New Roman" w:cs="Times New Roman"/>
          <w:b/>
          <w:kern w:val="2"/>
          <w:sz w:val="24"/>
        </w:rPr>
      </w:pPr>
    </w:p>
    <w:p>
      <w:pPr>
        <w:shd w:val="clear" w:color="auto" w:fill="auto"/>
        <w:tabs>
          <w:tab w:val="clear" w:pos="426"/>
        </w:tabs>
        <w:adjustRightInd/>
        <w:snapToGrid/>
        <w:spacing w:line="240" w:lineRule="auto"/>
        <w:ind w:firstLine="487"/>
        <w:jc w:val="left"/>
        <w:rPr>
          <w:rFonts w:ascii="Times New Roman" w:cs="Times New Roman"/>
          <w:b/>
          <w:kern w:val="2"/>
          <w:sz w:val="24"/>
        </w:rPr>
      </w:pPr>
      <w:r>
        <w:rPr>
          <w:rFonts w:ascii="Times New Roman" w:cs="Times New Roman"/>
          <w:b/>
          <w:kern w:val="2"/>
          <w:sz w:val="24"/>
        </w:rPr>
        <w:br w:type="page"/>
      </w:r>
    </w:p>
    <w:p>
      <w:pPr>
        <w:tabs>
          <w:tab w:val="clear" w:pos="426"/>
        </w:tabs>
        <w:ind w:firstLine="482" w:firstLineChars="200"/>
        <w:jc w:val="center"/>
        <w:rPr>
          <w:b/>
          <w:sz w:val="24"/>
        </w:rPr>
      </w:pPr>
      <w:r>
        <w:rPr>
          <w:rFonts w:hint="eastAsia"/>
          <w:b/>
          <w:sz w:val="24"/>
        </w:rPr>
        <w:t>二、合同主要条款及格式</w:t>
      </w:r>
    </w:p>
    <w:bookmarkEnd w:id="58"/>
    <w:bookmarkEnd w:id="59"/>
    <w:p>
      <w:pPr>
        <w:ind w:firstLine="446"/>
        <w:jc w:val="center"/>
        <w:rPr>
          <w:rFonts w:hAnsi="宋体"/>
          <w:b/>
          <w:sz w:val="22"/>
          <w:szCs w:val="21"/>
        </w:rPr>
      </w:pPr>
      <w:bookmarkStart w:id="72" w:name="_Toc432592818"/>
      <w:bookmarkStart w:id="73" w:name="_Toc398220526"/>
      <w:r>
        <w:rPr>
          <w:rFonts w:hint="eastAsia" w:hAnsi="宋体"/>
          <w:b/>
          <w:sz w:val="22"/>
          <w:szCs w:val="21"/>
        </w:rPr>
        <w:t>注：仅供参考，具体条款内容由采购人和中标人协商确定。</w:t>
      </w:r>
    </w:p>
    <w:p>
      <w:pPr>
        <w:rPr>
          <w:rFonts w:hAnsi="宋体" w:cs="仿宋"/>
          <w:b/>
          <w:bCs/>
          <w:kern w:val="2"/>
          <w:szCs w:val="21"/>
        </w:rPr>
      </w:pPr>
      <w:r>
        <w:rPr>
          <w:rFonts w:hint="eastAsia" w:hAnsi="宋体" w:cs="仿宋"/>
          <w:b/>
          <w:bCs/>
          <w:kern w:val="2"/>
          <w:szCs w:val="21"/>
        </w:rPr>
        <w:t>1.订单确认</w:t>
      </w:r>
    </w:p>
    <w:p>
      <w:pPr>
        <w:ind w:firstLine="420" w:firstLineChars="200"/>
        <w:rPr>
          <w:rFonts w:hAnsi="宋体" w:cs="仿宋"/>
          <w:kern w:val="2"/>
          <w:szCs w:val="21"/>
        </w:rPr>
      </w:pPr>
      <w:r>
        <w:rPr>
          <w:rFonts w:hint="eastAsia" w:hAnsi="宋体" w:cs="仿宋"/>
          <w:kern w:val="2"/>
          <w:szCs w:val="21"/>
        </w:rPr>
        <w:t>（1）甲方向乙方采购食堂蔬菜类、鲜肉类、水产类、冻品、水果、粮油、副食、干货、杂货、调配料等物资，具体内容以每天甲方提供的采购清单为准。</w:t>
      </w:r>
    </w:p>
    <w:p>
      <w:pPr>
        <w:ind w:firstLine="420" w:firstLineChars="200"/>
        <w:rPr>
          <w:rFonts w:hAnsi="宋体" w:cs="仿宋"/>
          <w:kern w:val="2"/>
          <w:szCs w:val="21"/>
        </w:rPr>
      </w:pPr>
      <w:r>
        <w:rPr>
          <w:rFonts w:hint="eastAsia" w:hAnsi="宋体" w:cs="仿宋"/>
          <w:kern w:val="2"/>
          <w:szCs w:val="21"/>
        </w:rPr>
        <w:t>（2）甲方提前一天于下午6点之前以书面传真方式向乙方下订单，并说明送货品种、时间、地点和特殊要求等，乙方须按甲方订购要求进行送货。</w:t>
      </w:r>
    </w:p>
    <w:p>
      <w:pPr>
        <w:rPr>
          <w:rFonts w:hAnsi="宋体" w:cs="仿宋"/>
          <w:b/>
          <w:bCs/>
          <w:kern w:val="2"/>
          <w:szCs w:val="21"/>
        </w:rPr>
      </w:pPr>
      <w:r>
        <w:rPr>
          <w:rFonts w:hint="eastAsia" w:hAnsi="宋体" w:cs="仿宋"/>
          <w:b/>
          <w:bCs/>
          <w:kern w:val="2"/>
          <w:szCs w:val="21"/>
        </w:rPr>
        <w:t>2.配送要求</w:t>
      </w:r>
    </w:p>
    <w:p>
      <w:pPr>
        <w:ind w:firstLine="420" w:firstLineChars="200"/>
        <w:rPr>
          <w:rFonts w:hAnsi="宋体" w:cs="仿宋"/>
          <w:kern w:val="2"/>
          <w:szCs w:val="21"/>
        </w:rPr>
      </w:pPr>
      <w:r>
        <w:rPr>
          <w:rFonts w:hint="eastAsia" w:hAnsi="宋体" w:cs="仿宋"/>
          <w:kern w:val="2"/>
          <w:szCs w:val="21"/>
        </w:rPr>
        <w:t>（1）</w:t>
      </w:r>
      <w:r>
        <w:rPr>
          <w:rFonts w:hAnsi="宋体" w:cs="仿宋"/>
          <w:kern w:val="2"/>
          <w:szCs w:val="21"/>
        </w:rPr>
        <w:t>配送商品质量:按甲方要求的质量配送</w:t>
      </w:r>
      <w:r>
        <w:rPr>
          <w:rFonts w:hint="eastAsia" w:hAnsi="宋体" w:cs="仿宋"/>
          <w:kern w:val="2"/>
          <w:szCs w:val="21"/>
        </w:rPr>
        <w:t>，且乙方应确保其配送的商品质量符合国家食品安全卫生标准</w:t>
      </w:r>
      <w:r>
        <w:rPr>
          <w:rFonts w:hAnsi="宋体" w:cs="仿宋"/>
          <w:kern w:val="2"/>
          <w:szCs w:val="21"/>
        </w:rPr>
        <w:t xml:space="preserve">。 </w:t>
      </w:r>
    </w:p>
    <w:p>
      <w:pPr>
        <w:ind w:firstLine="420" w:firstLineChars="200"/>
        <w:rPr>
          <w:rFonts w:hAnsi="宋体" w:cs="仿宋"/>
          <w:kern w:val="2"/>
          <w:szCs w:val="21"/>
        </w:rPr>
      </w:pPr>
      <w:r>
        <w:rPr>
          <w:rFonts w:hint="eastAsia" w:hAnsi="宋体" w:cs="仿宋"/>
          <w:kern w:val="2"/>
          <w:szCs w:val="21"/>
        </w:rPr>
        <w:t>（2）</w:t>
      </w:r>
      <w:r>
        <w:rPr>
          <w:rFonts w:hAnsi="宋体" w:cs="仿宋"/>
          <w:kern w:val="2"/>
          <w:szCs w:val="21"/>
        </w:rPr>
        <w:t>数量:乙方应</w:t>
      </w:r>
      <w:r>
        <w:rPr>
          <w:rFonts w:hint="eastAsia" w:hAnsi="宋体" w:cs="仿宋"/>
          <w:kern w:val="2"/>
          <w:szCs w:val="21"/>
        </w:rPr>
        <w:t>按照甲方订货的数量提供商品，并</w:t>
      </w:r>
      <w:r>
        <w:rPr>
          <w:rFonts w:hAnsi="宋体" w:cs="仿宋"/>
          <w:kern w:val="2"/>
          <w:szCs w:val="21"/>
        </w:rPr>
        <w:t>保证斤两的准确性</w:t>
      </w:r>
      <w:r>
        <w:rPr>
          <w:rFonts w:hint="eastAsia" w:hAnsi="宋体" w:cs="仿宋"/>
          <w:kern w:val="2"/>
          <w:szCs w:val="21"/>
        </w:rPr>
        <w:t>。若</w:t>
      </w:r>
      <w:r>
        <w:rPr>
          <w:rFonts w:hAnsi="宋体" w:cs="仿宋"/>
          <w:kern w:val="2"/>
          <w:szCs w:val="21"/>
        </w:rPr>
        <w:t>甲方</w:t>
      </w:r>
      <w:r>
        <w:rPr>
          <w:rFonts w:hint="eastAsia" w:hAnsi="宋体" w:cs="仿宋"/>
          <w:kern w:val="2"/>
          <w:szCs w:val="21"/>
        </w:rPr>
        <w:t>在</w:t>
      </w:r>
      <w:r>
        <w:rPr>
          <w:rFonts w:hAnsi="宋体" w:cs="仿宋"/>
          <w:kern w:val="2"/>
          <w:szCs w:val="21"/>
        </w:rPr>
        <w:t>验货</w:t>
      </w:r>
      <w:r>
        <w:rPr>
          <w:rFonts w:hint="eastAsia" w:hAnsi="宋体" w:cs="仿宋"/>
          <w:kern w:val="2"/>
          <w:szCs w:val="21"/>
        </w:rPr>
        <w:t>时发现乙方配送的商品</w:t>
      </w:r>
      <w:r>
        <w:rPr>
          <w:rFonts w:hAnsi="宋体" w:cs="仿宋"/>
          <w:kern w:val="2"/>
          <w:szCs w:val="21"/>
        </w:rPr>
        <w:t>数量</w:t>
      </w:r>
      <w:r>
        <w:rPr>
          <w:rFonts w:hint="eastAsia" w:hAnsi="宋体" w:cs="仿宋"/>
          <w:kern w:val="2"/>
          <w:szCs w:val="21"/>
        </w:rPr>
        <w:t>超出的，则甲方有权拒收超出的部分；发现缺斤少两的，甲方有权要求乙方立即补足，因此所产生的费用由乙方自行承担</w:t>
      </w:r>
      <w:r>
        <w:rPr>
          <w:rFonts w:hAnsi="宋体" w:cs="仿宋"/>
          <w:kern w:val="2"/>
          <w:szCs w:val="21"/>
        </w:rPr>
        <w:t xml:space="preserve">。 </w:t>
      </w:r>
    </w:p>
    <w:p>
      <w:pPr>
        <w:ind w:firstLine="420" w:firstLineChars="200"/>
        <w:rPr>
          <w:rFonts w:hAnsi="宋体" w:cs="仿宋"/>
          <w:kern w:val="2"/>
          <w:szCs w:val="21"/>
        </w:rPr>
      </w:pPr>
      <w:r>
        <w:rPr>
          <w:rFonts w:hint="eastAsia" w:hAnsi="宋体" w:cs="仿宋"/>
          <w:kern w:val="2"/>
          <w:szCs w:val="21"/>
        </w:rPr>
        <w:t>（3）</w:t>
      </w:r>
      <w:r>
        <w:rPr>
          <w:rFonts w:hAnsi="宋体" w:cs="仿宋"/>
          <w:kern w:val="2"/>
          <w:szCs w:val="21"/>
        </w:rPr>
        <w:t>时间:乙方须按甲方要求的时间将所订购的货物送至甲方所在地</w:t>
      </w:r>
      <w:r>
        <w:rPr>
          <w:rFonts w:hint="eastAsia" w:hAnsi="宋体" w:cs="仿宋"/>
          <w:kern w:val="2"/>
          <w:szCs w:val="21"/>
        </w:rPr>
        <w:t>或甲方指定地点</w:t>
      </w:r>
      <w:r>
        <w:rPr>
          <w:rFonts w:hAnsi="宋体" w:cs="仿宋"/>
          <w:kern w:val="2"/>
          <w:szCs w:val="21"/>
        </w:rPr>
        <w:t xml:space="preserve">。 </w:t>
      </w:r>
    </w:p>
    <w:p>
      <w:pPr>
        <w:ind w:firstLine="420" w:firstLineChars="200"/>
        <w:rPr>
          <w:rFonts w:hAnsi="宋体" w:cs="仿宋"/>
          <w:kern w:val="2"/>
          <w:szCs w:val="21"/>
        </w:rPr>
      </w:pPr>
      <w:r>
        <w:rPr>
          <w:rFonts w:hint="eastAsia" w:hAnsi="宋体" w:cs="仿宋"/>
          <w:kern w:val="2"/>
          <w:szCs w:val="21"/>
        </w:rPr>
        <w:t>（4）</w:t>
      </w:r>
      <w:r>
        <w:rPr>
          <w:rFonts w:hAnsi="宋体" w:cs="仿宋"/>
          <w:kern w:val="2"/>
          <w:szCs w:val="21"/>
        </w:rPr>
        <w:t>乙方每次</w:t>
      </w:r>
      <w:r>
        <w:rPr>
          <w:rFonts w:hint="eastAsia" w:hAnsi="宋体" w:cs="仿宋"/>
          <w:kern w:val="2"/>
          <w:szCs w:val="21"/>
        </w:rPr>
        <w:t>应</w:t>
      </w:r>
      <w:r>
        <w:rPr>
          <w:rFonts w:hAnsi="宋体" w:cs="仿宋"/>
          <w:kern w:val="2"/>
          <w:szCs w:val="21"/>
        </w:rPr>
        <w:t>随货送上</w:t>
      </w:r>
      <w:r>
        <w:rPr>
          <w:rFonts w:hint="eastAsia" w:hAnsi="宋体" w:cs="仿宋"/>
          <w:kern w:val="2"/>
          <w:szCs w:val="21"/>
        </w:rPr>
        <w:t>壹</w:t>
      </w:r>
      <w:r>
        <w:rPr>
          <w:rFonts w:hAnsi="宋体" w:cs="仿宋"/>
          <w:kern w:val="2"/>
          <w:szCs w:val="21"/>
        </w:rPr>
        <w:t>式</w:t>
      </w:r>
      <w:r>
        <w:rPr>
          <w:rFonts w:hint="eastAsia" w:hAnsi="宋体" w:cs="仿宋"/>
          <w:kern w:val="2"/>
          <w:szCs w:val="21"/>
        </w:rPr>
        <w:t>贰</w:t>
      </w:r>
      <w:r>
        <w:rPr>
          <w:rFonts w:hAnsi="宋体" w:cs="仿宋"/>
          <w:kern w:val="2"/>
          <w:szCs w:val="21"/>
        </w:rPr>
        <w:t>份的</w:t>
      </w:r>
      <w:r>
        <w:rPr>
          <w:rFonts w:hint="eastAsia" w:hAnsi="宋体" w:cs="仿宋"/>
          <w:kern w:val="2"/>
          <w:szCs w:val="21"/>
        </w:rPr>
        <w:t>已由乙方签署的</w:t>
      </w:r>
      <w:r>
        <w:rPr>
          <w:rFonts w:hAnsi="宋体" w:cs="仿宋"/>
          <w:kern w:val="2"/>
          <w:szCs w:val="21"/>
        </w:rPr>
        <w:t>送货清单</w:t>
      </w:r>
      <w:r>
        <w:rPr>
          <w:rFonts w:hint="eastAsia" w:hAnsi="宋体" w:cs="仿宋"/>
          <w:kern w:val="2"/>
          <w:szCs w:val="21"/>
        </w:rPr>
        <w:t>，</w:t>
      </w:r>
      <w:r>
        <w:rPr>
          <w:rFonts w:hAnsi="宋体" w:cs="仿宋"/>
          <w:kern w:val="2"/>
          <w:szCs w:val="21"/>
        </w:rPr>
        <w:t>甲方</w:t>
      </w:r>
      <w:r>
        <w:rPr>
          <w:rFonts w:hint="eastAsia" w:hAnsi="宋体" w:cs="仿宋"/>
          <w:kern w:val="2"/>
          <w:szCs w:val="21"/>
        </w:rPr>
        <w:t>在对货物</w:t>
      </w:r>
      <w:r>
        <w:rPr>
          <w:rFonts w:hAnsi="宋体" w:cs="仿宋"/>
          <w:kern w:val="2"/>
          <w:szCs w:val="21"/>
        </w:rPr>
        <w:t>验收</w:t>
      </w:r>
      <w:r>
        <w:rPr>
          <w:rFonts w:hint="eastAsia" w:hAnsi="宋体" w:cs="仿宋"/>
          <w:kern w:val="2"/>
          <w:szCs w:val="21"/>
        </w:rPr>
        <w:t>合格</w:t>
      </w:r>
      <w:r>
        <w:rPr>
          <w:rFonts w:hAnsi="宋体" w:cs="仿宋"/>
          <w:kern w:val="2"/>
          <w:szCs w:val="21"/>
        </w:rPr>
        <w:t>后</w:t>
      </w:r>
      <w:r>
        <w:rPr>
          <w:rFonts w:hint="eastAsia" w:hAnsi="宋体" w:cs="仿宋"/>
          <w:kern w:val="2"/>
          <w:szCs w:val="21"/>
        </w:rPr>
        <w:t>应在该送货清单上</w:t>
      </w:r>
      <w:r>
        <w:rPr>
          <w:rFonts w:hAnsi="宋体" w:cs="仿宋"/>
          <w:kern w:val="2"/>
          <w:szCs w:val="21"/>
        </w:rPr>
        <w:t>签字</w:t>
      </w:r>
      <w:r>
        <w:rPr>
          <w:rFonts w:hint="eastAsia" w:hAnsi="宋体" w:cs="仿宋"/>
          <w:kern w:val="2"/>
          <w:szCs w:val="21"/>
        </w:rPr>
        <w:t>确认，经双方签字确认单的送货清单</w:t>
      </w:r>
      <w:r>
        <w:rPr>
          <w:rFonts w:hAnsi="宋体" w:cs="仿宋"/>
          <w:kern w:val="2"/>
          <w:szCs w:val="21"/>
        </w:rPr>
        <w:t>作为送货凭证</w:t>
      </w:r>
      <w:r>
        <w:rPr>
          <w:rFonts w:hint="eastAsia" w:hAnsi="宋体" w:cs="仿宋"/>
          <w:kern w:val="2"/>
          <w:szCs w:val="21"/>
        </w:rPr>
        <w:t>和结算凭证</w:t>
      </w:r>
      <w:r>
        <w:rPr>
          <w:rFonts w:hAnsi="宋体" w:cs="仿宋"/>
          <w:kern w:val="2"/>
          <w:szCs w:val="21"/>
        </w:rPr>
        <w:t xml:space="preserve">。 </w:t>
      </w:r>
      <w:r>
        <w:rPr>
          <w:rFonts w:hint="eastAsia" w:hAnsi="宋体" w:cs="仿宋"/>
          <w:kern w:val="2"/>
          <w:szCs w:val="21"/>
        </w:rPr>
        <w:t>若乙方配送的货物存在不合格、损坏或超出的部分，甲方有权仅签收符合本合同约定的商品，并在送货清单上注明。若乙方拒绝在送货清单上签字的，甲方单方签署的送货清单仍可作为本合同履行的依据和凭证。</w:t>
      </w:r>
    </w:p>
    <w:p>
      <w:pPr>
        <w:rPr>
          <w:rFonts w:hAnsi="宋体" w:cs="仿宋"/>
          <w:b/>
          <w:bCs/>
          <w:kern w:val="2"/>
          <w:szCs w:val="21"/>
        </w:rPr>
      </w:pPr>
      <w:r>
        <w:rPr>
          <w:rFonts w:hint="eastAsia" w:hAnsi="宋体" w:cs="仿宋"/>
          <w:b/>
          <w:bCs/>
          <w:kern w:val="2"/>
          <w:szCs w:val="21"/>
        </w:rPr>
        <w:t>3.送货及验收方式</w:t>
      </w:r>
    </w:p>
    <w:p>
      <w:pPr>
        <w:ind w:firstLine="420" w:firstLineChars="200"/>
        <w:rPr>
          <w:rFonts w:hAnsi="宋体" w:cs="仿宋"/>
          <w:kern w:val="2"/>
          <w:szCs w:val="21"/>
        </w:rPr>
      </w:pPr>
      <w:r>
        <w:rPr>
          <w:rFonts w:hint="eastAsia" w:hAnsi="宋体" w:cs="仿宋"/>
          <w:kern w:val="2"/>
          <w:szCs w:val="21"/>
        </w:rPr>
        <w:t>（1）检验流程</w:t>
      </w:r>
    </w:p>
    <w:p>
      <w:pPr>
        <w:ind w:firstLine="420" w:firstLineChars="200"/>
        <w:rPr>
          <w:rFonts w:hAnsi="宋体" w:cs="仿宋"/>
          <w:kern w:val="2"/>
          <w:szCs w:val="21"/>
        </w:rPr>
      </w:pPr>
      <w:r>
        <w:rPr>
          <w:rFonts w:hint="eastAsia" w:hAnsi="宋体" w:cs="仿宋"/>
          <w:kern w:val="2"/>
          <w:szCs w:val="21"/>
        </w:rPr>
        <w:t>一是要作好卸货前的检查。验收人员卸货前应对场地和验收设备做好准备，并对商品的外观质量进行初步了解。二是应采取当场验收的方式，验收人须认真检验食品的质量要求，按索证→过磅→入库的程序完成验收；三是须进行抽查验收，抽查样本数视实际情况而定，一般不超过10%。</w:t>
      </w:r>
    </w:p>
    <w:p>
      <w:pPr>
        <w:ind w:firstLine="420" w:firstLineChars="200"/>
        <w:rPr>
          <w:rFonts w:hAnsi="宋体" w:cs="仿宋"/>
          <w:kern w:val="2"/>
          <w:szCs w:val="21"/>
        </w:rPr>
      </w:pPr>
      <w:r>
        <w:rPr>
          <w:rFonts w:hint="eastAsia" w:hAnsi="宋体" w:cs="仿宋"/>
          <w:kern w:val="2"/>
          <w:szCs w:val="21"/>
        </w:rPr>
        <w:t>（2）验收工作人员应比较相关文件，以确保食品品种符合要求。如确定有所差异或配送的货物存在损坏、腐烂等情况的，应即刻通知送货人员，且甲方有权拒收不合格的货物，并应在相关送货单据上记录所有损坏/腐烂情况。建议对货物损坏情况进行拍照并存档。对于食品验收的全部信息数据，甲方验收人员应和乙方一起确认，并保留双方签字单据；若乙方无正当理由拒绝确认的，甲方人员单方签字确认的单据亦可作为凭证。</w:t>
      </w:r>
    </w:p>
    <w:p>
      <w:pPr>
        <w:ind w:firstLine="420" w:firstLineChars="200"/>
        <w:rPr>
          <w:rFonts w:hAnsi="宋体" w:cs="仿宋"/>
          <w:kern w:val="2"/>
          <w:szCs w:val="21"/>
        </w:rPr>
      </w:pPr>
      <w:r>
        <w:rPr>
          <w:rFonts w:hint="eastAsia" w:hAnsi="宋体" w:cs="仿宋"/>
          <w:kern w:val="2"/>
          <w:szCs w:val="21"/>
        </w:rPr>
        <w:t>（3）退（补）货流程</w:t>
      </w:r>
    </w:p>
    <w:p>
      <w:pPr>
        <w:ind w:firstLine="420" w:firstLineChars="200"/>
        <w:rPr>
          <w:rFonts w:hAnsi="宋体" w:cs="仿宋"/>
          <w:kern w:val="2"/>
          <w:szCs w:val="21"/>
        </w:rPr>
      </w:pPr>
      <w:r>
        <w:rPr>
          <w:rFonts w:hint="eastAsia" w:hAnsi="宋体" w:cs="仿宋"/>
          <w:kern w:val="2"/>
          <w:szCs w:val="21"/>
        </w:rPr>
        <w:t>对不符合采购要求的食品，甲方有权要求退货，退货前应实行留板备案。如双方对质量争议可送国家质监部门检测，因此所产生的费用由责任方承担。对存在缺斤短两（或含水量超标）的货物，乙方应按照甲方要求进行补足，若甲方不要求补足的，则结算时应按实际重量核算。出现退（补）货情况，应及时报告。在退货过程中，对有碍公共卫生安全的蔬菜，应按国家有关规定处理或进行而无需退还给乙方，对此乙方不得持有任何异议，且对于该部分货物甲方无需向乙方支付任何费用。</w:t>
      </w:r>
    </w:p>
    <w:p>
      <w:pPr>
        <w:ind w:firstLine="420" w:firstLineChars="200"/>
        <w:rPr>
          <w:rFonts w:hAnsi="宋体" w:cs="仿宋"/>
          <w:kern w:val="2"/>
          <w:szCs w:val="21"/>
        </w:rPr>
      </w:pPr>
      <w:r>
        <w:rPr>
          <w:rFonts w:hint="eastAsia" w:hAnsi="宋体" w:cs="仿宋"/>
          <w:kern w:val="2"/>
          <w:szCs w:val="21"/>
        </w:rPr>
        <w:t>（4）验收记录</w:t>
      </w:r>
    </w:p>
    <w:p>
      <w:pPr>
        <w:ind w:firstLine="420" w:firstLineChars="200"/>
        <w:rPr>
          <w:rFonts w:hAnsi="宋体" w:cs="仿宋"/>
          <w:kern w:val="2"/>
          <w:szCs w:val="21"/>
        </w:rPr>
      </w:pPr>
      <w:r>
        <w:rPr>
          <w:rFonts w:hint="eastAsia" w:hAnsi="宋体" w:cs="仿宋"/>
          <w:kern w:val="2"/>
          <w:szCs w:val="21"/>
        </w:rPr>
        <w:t>甲方应对每次采购的食品进行登记记录，注明名称、数量等事项并在采购登记记录上签明意见和验收人的名字及日期。</w:t>
      </w:r>
    </w:p>
    <w:p>
      <w:pPr>
        <w:ind w:firstLine="420" w:firstLineChars="200"/>
        <w:rPr>
          <w:rFonts w:hAnsi="宋体" w:cs="仿宋"/>
          <w:kern w:val="2"/>
          <w:szCs w:val="21"/>
        </w:rPr>
      </w:pPr>
      <w:r>
        <w:rPr>
          <w:rFonts w:hint="eastAsia" w:hAnsi="宋体" w:cs="仿宋"/>
          <w:kern w:val="2"/>
          <w:szCs w:val="21"/>
        </w:rPr>
        <w:t>乙方应在送货前提前通知甲方送货时间，以便做好交收工作。如乙方未能按时交货的，甲方有权另行向第三方采购，并由乙方承担相应的违约责任并向甲方赔偿因此产生的一切损失和费用（包括直接经济损失和间接经济损失）。</w:t>
      </w:r>
    </w:p>
    <w:p>
      <w:pPr>
        <w:rPr>
          <w:rFonts w:hAnsi="宋体" w:cs="仿宋"/>
          <w:b/>
          <w:bCs/>
          <w:kern w:val="2"/>
          <w:szCs w:val="21"/>
        </w:rPr>
      </w:pPr>
      <w:r>
        <w:rPr>
          <w:rFonts w:hint="eastAsia" w:hAnsi="宋体" w:cs="仿宋"/>
          <w:b/>
          <w:bCs/>
          <w:kern w:val="2"/>
          <w:szCs w:val="21"/>
        </w:rPr>
        <w:t>4.服务范围：</w:t>
      </w:r>
    </w:p>
    <w:tbl>
      <w:tblPr>
        <w:tblStyle w:val="85"/>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56" w:type="dxa"/>
            <w:vAlign w:val="center"/>
          </w:tcPr>
          <w:p>
            <w:pPr>
              <w:widowControl w:val="0"/>
              <w:shd w:val="clear" w:color="auto" w:fill="auto"/>
              <w:tabs>
                <w:tab w:val="left" w:pos="851"/>
                <w:tab w:val="clear" w:pos="426"/>
              </w:tabs>
              <w:adjustRightInd/>
              <w:snapToGrid/>
              <w:spacing w:line="240" w:lineRule="auto"/>
              <w:jc w:val="center"/>
              <w:rPr>
                <w:rFonts w:hAnsi="宋体" w:cs="仿宋"/>
                <w:b/>
                <w:kern w:val="2"/>
                <w:szCs w:val="21"/>
              </w:rPr>
            </w:pPr>
            <w:r>
              <w:rPr>
                <w:rFonts w:hint="eastAsia" w:hAnsi="宋体" w:cs="仿宋"/>
                <w:b/>
                <w:kern w:val="2"/>
                <w:szCs w:val="21"/>
              </w:rPr>
              <w:t>包号</w:t>
            </w:r>
          </w:p>
        </w:tc>
        <w:tc>
          <w:tcPr>
            <w:tcW w:w="6919" w:type="dxa"/>
            <w:vAlign w:val="center"/>
          </w:tcPr>
          <w:p>
            <w:pPr>
              <w:widowControl w:val="0"/>
              <w:shd w:val="clear" w:color="auto" w:fill="auto"/>
              <w:tabs>
                <w:tab w:val="left" w:pos="851"/>
                <w:tab w:val="clear" w:pos="426"/>
              </w:tabs>
              <w:adjustRightInd/>
              <w:snapToGrid/>
              <w:spacing w:line="240" w:lineRule="auto"/>
              <w:jc w:val="center"/>
              <w:rPr>
                <w:rFonts w:hAnsi="宋体" w:cs="仿宋"/>
                <w:b/>
                <w:kern w:val="2"/>
                <w:szCs w:val="21"/>
              </w:rPr>
            </w:pPr>
            <w:r>
              <w:rPr>
                <w:rFonts w:hint="eastAsia" w:hAnsi="宋体" w:cs="仿宋"/>
                <w:b/>
                <w:kern w:val="2"/>
                <w:szCs w:val="21"/>
              </w:rPr>
              <w:t>食堂配菜服务区域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56" w:type="dxa"/>
            <w:vAlign w:val="center"/>
          </w:tcPr>
          <w:p>
            <w:pPr>
              <w:widowControl w:val="0"/>
              <w:shd w:val="clear" w:color="auto" w:fill="auto"/>
              <w:tabs>
                <w:tab w:val="left" w:pos="851"/>
                <w:tab w:val="clear" w:pos="426"/>
              </w:tabs>
              <w:adjustRightInd/>
              <w:snapToGrid/>
              <w:spacing w:line="240" w:lineRule="auto"/>
              <w:jc w:val="center"/>
              <w:rPr>
                <w:rFonts w:hAnsi="宋体" w:cs="仿宋"/>
                <w:b/>
                <w:kern w:val="2"/>
                <w:szCs w:val="21"/>
              </w:rPr>
            </w:pPr>
            <w:r>
              <w:rPr>
                <w:rFonts w:hint="eastAsia" w:hAnsi="宋体" w:cs="仿宋"/>
                <w:b/>
                <w:kern w:val="2"/>
                <w:szCs w:val="21"/>
              </w:rPr>
              <w:t>A包</w:t>
            </w:r>
          </w:p>
        </w:tc>
        <w:tc>
          <w:tcPr>
            <w:tcW w:w="6919" w:type="dxa"/>
            <w:vAlign w:val="center"/>
          </w:tcPr>
          <w:p>
            <w:pPr>
              <w:widowControl w:val="0"/>
              <w:shd w:val="clear" w:color="auto" w:fill="auto"/>
              <w:tabs>
                <w:tab w:val="left" w:pos="851"/>
                <w:tab w:val="clear" w:pos="426"/>
              </w:tabs>
              <w:adjustRightInd/>
              <w:snapToGrid/>
              <w:spacing w:line="240" w:lineRule="auto"/>
              <w:jc w:val="center"/>
              <w:rPr>
                <w:rFonts w:hAnsi="宋体" w:cs="仿宋"/>
                <w:kern w:val="2"/>
                <w:szCs w:val="21"/>
              </w:rPr>
            </w:pPr>
            <w:r>
              <w:rPr>
                <w:rFonts w:hint="eastAsia" w:hAnsi="宋体" w:cs="仿宋"/>
                <w:kern w:val="2"/>
                <w:szCs w:val="21"/>
              </w:rPr>
              <w:t>沙井消防救援站、松岗消防救援站及下属分队片区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56" w:type="dxa"/>
            <w:vAlign w:val="center"/>
          </w:tcPr>
          <w:p>
            <w:pPr>
              <w:widowControl w:val="0"/>
              <w:shd w:val="clear" w:color="auto" w:fill="auto"/>
              <w:tabs>
                <w:tab w:val="left" w:pos="851"/>
                <w:tab w:val="clear" w:pos="426"/>
              </w:tabs>
              <w:adjustRightInd/>
              <w:snapToGrid/>
              <w:spacing w:line="240" w:lineRule="auto"/>
              <w:jc w:val="center"/>
              <w:rPr>
                <w:rFonts w:hAnsi="宋体" w:cs="仿宋"/>
                <w:b/>
                <w:kern w:val="2"/>
                <w:szCs w:val="21"/>
              </w:rPr>
            </w:pPr>
            <w:r>
              <w:rPr>
                <w:rFonts w:hint="eastAsia" w:hAnsi="宋体" w:cs="仿宋"/>
                <w:b/>
                <w:kern w:val="2"/>
                <w:szCs w:val="21"/>
              </w:rPr>
              <w:t>B包</w:t>
            </w:r>
          </w:p>
        </w:tc>
        <w:tc>
          <w:tcPr>
            <w:tcW w:w="6919" w:type="dxa"/>
            <w:vAlign w:val="center"/>
          </w:tcPr>
          <w:p>
            <w:pPr>
              <w:widowControl w:val="0"/>
              <w:shd w:val="clear" w:color="auto" w:fill="auto"/>
              <w:tabs>
                <w:tab w:val="left" w:pos="851"/>
                <w:tab w:val="clear" w:pos="426"/>
              </w:tabs>
              <w:adjustRightInd/>
              <w:snapToGrid/>
              <w:spacing w:line="240" w:lineRule="auto"/>
              <w:jc w:val="center"/>
              <w:rPr>
                <w:rFonts w:hAnsi="宋体" w:cs="仿宋"/>
                <w:kern w:val="2"/>
                <w:szCs w:val="21"/>
              </w:rPr>
            </w:pPr>
            <w:r>
              <w:rPr>
                <w:rFonts w:hint="eastAsia" w:hAnsi="宋体" w:cs="仿宋"/>
                <w:kern w:val="2"/>
                <w:szCs w:val="21"/>
              </w:rPr>
              <w:t>大队部、西乡消防救援站、福永消防救援站及下属分队片区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56" w:type="dxa"/>
            <w:vAlign w:val="center"/>
          </w:tcPr>
          <w:p>
            <w:pPr>
              <w:widowControl w:val="0"/>
              <w:shd w:val="clear" w:color="auto" w:fill="auto"/>
              <w:tabs>
                <w:tab w:val="left" w:pos="851"/>
                <w:tab w:val="clear" w:pos="426"/>
              </w:tabs>
              <w:adjustRightInd/>
              <w:snapToGrid/>
              <w:spacing w:line="240" w:lineRule="auto"/>
              <w:jc w:val="center"/>
              <w:rPr>
                <w:rFonts w:hAnsi="宋体" w:cs="仿宋"/>
                <w:b/>
                <w:kern w:val="2"/>
                <w:szCs w:val="21"/>
              </w:rPr>
            </w:pPr>
            <w:r>
              <w:rPr>
                <w:rFonts w:hint="eastAsia" w:hAnsi="宋体" w:cs="仿宋"/>
                <w:b/>
                <w:kern w:val="2"/>
                <w:szCs w:val="21"/>
              </w:rPr>
              <w:t>C包</w:t>
            </w:r>
          </w:p>
        </w:tc>
        <w:tc>
          <w:tcPr>
            <w:tcW w:w="6919" w:type="dxa"/>
            <w:vAlign w:val="center"/>
          </w:tcPr>
          <w:p>
            <w:pPr>
              <w:widowControl w:val="0"/>
              <w:shd w:val="clear" w:color="auto" w:fill="auto"/>
              <w:tabs>
                <w:tab w:val="left" w:pos="851"/>
                <w:tab w:val="clear" w:pos="426"/>
              </w:tabs>
              <w:adjustRightInd/>
              <w:snapToGrid/>
              <w:spacing w:line="240" w:lineRule="auto"/>
              <w:jc w:val="center"/>
              <w:rPr>
                <w:rFonts w:hAnsi="宋体" w:cs="仿宋"/>
                <w:kern w:val="2"/>
                <w:szCs w:val="21"/>
              </w:rPr>
            </w:pPr>
            <w:r>
              <w:rPr>
                <w:rFonts w:hint="eastAsia" w:hAnsi="宋体" w:cs="仿宋"/>
                <w:kern w:val="2"/>
                <w:szCs w:val="21"/>
              </w:rPr>
              <w:t>宝安消防救援站、石岩消防救援站及下属分队片区</w:t>
            </w:r>
          </w:p>
        </w:tc>
      </w:tr>
    </w:tbl>
    <w:p>
      <w:pPr>
        <w:ind w:firstLine="420" w:firstLineChars="200"/>
        <w:rPr>
          <w:rFonts w:hAnsi="宋体" w:cs="仿宋"/>
          <w:kern w:val="2"/>
          <w:szCs w:val="21"/>
        </w:rPr>
      </w:pPr>
      <w:r>
        <w:rPr>
          <w:rFonts w:hint="eastAsia" w:hAnsi="宋体" w:cs="仿宋"/>
          <w:kern w:val="2"/>
          <w:szCs w:val="21"/>
        </w:rPr>
        <w:t>项目共计约120个食堂，A包共计约55个食堂，B包共计约38个食堂，C包共计约27个食堂。</w:t>
      </w:r>
    </w:p>
    <w:p>
      <w:pPr>
        <w:ind w:firstLine="420" w:firstLineChars="200"/>
        <w:rPr>
          <w:rFonts w:hAnsi="宋体" w:cs="仿宋"/>
          <w:kern w:val="2"/>
          <w:szCs w:val="21"/>
        </w:rPr>
      </w:pPr>
      <w:r>
        <w:rPr>
          <w:rFonts w:hint="eastAsia" w:hAnsi="宋体" w:cs="仿宋"/>
          <w:kern w:val="2"/>
          <w:szCs w:val="21"/>
        </w:rPr>
        <w:t>（1）配送种类：</w:t>
      </w:r>
    </w:p>
    <w:p>
      <w:pPr>
        <w:ind w:firstLine="420" w:firstLineChars="200"/>
        <w:rPr>
          <w:rFonts w:hAnsi="宋体" w:cs="仿宋"/>
          <w:kern w:val="2"/>
          <w:szCs w:val="21"/>
        </w:rPr>
      </w:pPr>
      <w:r>
        <w:rPr>
          <w:rFonts w:hint="eastAsia" w:hAnsi="宋体" w:cs="仿宋"/>
          <w:kern w:val="2"/>
          <w:szCs w:val="21"/>
        </w:rPr>
        <w:t>配送食材种类：蔬菜类、鲜肉类、水产类、冻品、水果、米、面、油、副食、干货、杂货、牛奶、糕点、调配料等食材配送。</w:t>
      </w:r>
    </w:p>
    <w:p>
      <w:pPr>
        <w:ind w:firstLine="420" w:firstLineChars="200"/>
        <w:rPr>
          <w:rFonts w:hAnsi="宋体" w:cs="仿宋"/>
          <w:kern w:val="2"/>
          <w:szCs w:val="21"/>
        </w:rPr>
      </w:pPr>
      <w:r>
        <w:rPr>
          <w:rFonts w:hint="eastAsia" w:hAnsi="宋体" w:cs="仿宋"/>
          <w:kern w:val="2"/>
          <w:szCs w:val="21"/>
        </w:rPr>
        <w:t>（2）报价要求</w:t>
      </w:r>
    </w:p>
    <w:p>
      <w:pPr>
        <w:ind w:firstLine="420" w:firstLineChars="200"/>
        <w:rPr>
          <w:rFonts w:hAnsi="宋体" w:cs="仿宋"/>
          <w:kern w:val="2"/>
          <w:szCs w:val="21"/>
        </w:rPr>
      </w:pPr>
      <w:r>
        <w:rPr>
          <w:rFonts w:hint="eastAsia" w:hAnsi="宋体" w:cs="仿宋"/>
          <w:kern w:val="2"/>
          <w:szCs w:val="21"/>
        </w:rPr>
        <w:t>①本项目年度总支付预算金额为：A包年度预算支付上限约2040.89万元、B包年度预算支付上限约1547.18万元、C包年度预算支付上限约1285.52万元，最终以实际结算为准。</w:t>
      </w:r>
    </w:p>
    <w:p>
      <w:pPr>
        <w:ind w:firstLine="420" w:firstLineChars="200"/>
        <w:rPr>
          <w:rFonts w:hAnsi="宋体" w:cs="仿宋"/>
          <w:kern w:val="2"/>
          <w:szCs w:val="21"/>
        </w:rPr>
      </w:pPr>
      <w:r>
        <w:rPr>
          <w:rFonts w:hint="eastAsia" w:hAnsi="宋体" w:cs="仿宋"/>
          <w:kern w:val="2"/>
          <w:szCs w:val="21"/>
        </w:rPr>
        <w:t>②本项目的投标价格为折扣率报价。</w:t>
      </w:r>
    </w:p>
    <w:p>
      <w:pPr>
        <w:ind w:firstLine="420" w:firstLineChars="200"/>
        <w:rPr>
          <w:rFonts w:hAnsi="宋体" w:cs="仿宋"/>
          <w:kern w:val="2"/>
          <w:szCs w:val="21"/>
        </w:rPr>
      </w:pPr>
      <w:r>
        <w:rPr>
          <w:rFonts w:hint="eastAsia" w:hAnsi="宋体" w:cs="仿宋"/>
          <w:kern w:val="2"/>
          <w:szCs w:val="21"/>
        </w:rPr>
        <w:t>中农数据网中有价格的产品，以中农数据网（网址：www.chinaap.com）每月5、15、25号（遇法定节假日顺延）公布的价格取平均值为该项物资的基准价（其中蔬菜、鲜肉类产品取精品含费价），投标人结合企业自己的实力报出折扣率；蔬菜和肉类，以中农数据食堂采配平台（http://www.chinaap.com）每月5、15、25号精品含费报价表取三天的平均值（平均值精确到分，即小数点后两位）确定各项物资的基准价，投标人结合企业自己的实力报出折扣率，结算时价格=基准价*折扣率；除蔬菜和肉类，以中农数据网报价的基准含费价进行结算；中农数据网无价格的产品，则按照市场价结算（市场价由招标人组织调查小组到大型超市或农贸市场进行考察后确定合理的市场价）。采购单位所采购的蔬菜和肉类均按精品进行采购，中标单位均应按照相应精品标准进行供货。</w:t>
      </w:r>
    </w:p>
    <w:p>
      <w:pPr>
        <w:ind w:firstLine="420" w:firstLineChars="200"/>
        <w:rPr>
          <w:rFonts w:hAnsi="宋体" w:cs="仿宋"/>
          <w:kern w:val="2"/>
          <w:szCs w:val="21"/>
        </w:rPr>
      </w:pPr>
      <w:r>
        <w:rPr>
          <w:rFonts w:hint="eastAsia" w:hAnsi="宋体" w:cs="仿宋"/>
          <w:kern w:val="2"/>
          <w:szCs w:val="21"/>
        </w:rPr>
        <w:t>（3）服务期限</w:t>
      </w:r>
    </w:p>
    <w:p>
      <w:pPr>
        <w:ind w:firstLine="420" w:firstLineChars="200"/>
        <w:rPr>
          <w:rFonts w:hAnsi="宋体" w:cs="仿宋"/>
          <w:kern w:val="2"/>
          <w:szCs w:val="21"/>
        </w:rPr>
      </w:pPr>
      <w:r>
        <w:rPr>
          <w:rFonts w:hint="eastAsia" w:hAnsi="宋体" w:cs="仿宋"/>
          <w:kern w:val="2"/>
          <w:szCs w:val="21"/>
        </w:rPr>
        <w:t>①服务期限：合同签订后一年。</w:t>
      </w:r>
    </w:p>
    <w:p>
      <w:pPr>
        <w:ind w:firstLine="420" w:firstLineChars="200"/>
        <w:rPr>
          <w:rFonts w:hAnsi="宋体" w:cs="仿宋"/>
          <w:kern w:val="2"/>
          <w:szCs w:val="21"/>
        </w:rPr>
      </w:pPr>
      <w:r>
        <w:rPr>
          <w:rFonts w:hint="eastAsia" w:hAnsi="宋体" w:cs="仿宋"/>
          <w:kern w:val="2"/>
          <w:szCs w:val="21"/>
        </w:rPr>
        <w:t>②服务地点：采购方指定地点。</w:t>
      </w:r>
    </w:p>
    <w:p>
      <w:pPr>
        <w:ind w:firstLine="420" w:firstLineChars="200"/>
        <w:rPr>
          <w:rFonts w:hAnsi="宋体" w:cs="仿宋"/>
          <w:kern w:val="2"/>
          <w:szCs w:val="21"/>
        </w:rPr>
      </w:pPr>
      <w:r>
        <w:rPr>
          <w:rFonts w:hint="eastAsia" w:hAnsi="宋体" w:cs="仿宋"/>
          <w:kern w:val="2"/>
          <w:szCs w:val="21"/>
        </w:rPr>
        <w:t>（4）付款方式</w:t>
      </w:r>
    </w:p>
    <w:p>
      <w:pPr>
        <w:ind w:firstLine="420" w:firstLineChars="200"/>
        <w:rPr>
          <w:rFonts w:hAnsi="宋体" w:cs="仿宋"/>
          <w:kern w:val="2"/>
          <w:szCs w:val="21"/>
        </w:rPr>
      </w:pPr>
      <w:r>
        <w:rPr>
          <w:rFonts w:hint="eastAsia" w:hAnsi="宋体" w:cs="仿宋"/>
          <w:kern w:val="2"/>
          <w:szCs w:val="21"/>
        </w:rPr>
        <w:t>①货款按月结算，在办理付款手续之前双方须对供应货物的品种、数量、单价、金额等进行统计，并核实无误。</w:t>
      </w:r>
    </w:p>
    <w:p>
      <w:pPr>
        <w:ind w:firstLine="420" w:firstLineChars="200"/>
        <w:rPr>
          <w:rFonts w:hAnsi="宋体" w:cs="仿宋"/>
          <w:kern w:val="2"/>
          <w:szCs w:val="21"/>
        </w:rPr>
      </w:pPr>
      <w:r>
        <w:rPr>
          <w:rFonts w:hint="eastAsia" w:hAnsi="宋体" w:cs="仿宋"/>
          <w:kern w:val="2"/>
          <w:szCs w:val="21"/>
        </w:rPr>
        <w:t>②投标人在完成当月供货订单后，于次月10日前凭国家增值税发票向采购人申请付款，采购人收到发票后在10个工作日内办理支付手续。</w:t>
      </w:r>
    </w:p>
    <w:p>
      <w:pPr>
        <w:ind w:firstLine="420" w:firstLineChars="200"/>
        <w:rPr>
          <w:rFonts w:hAnsi="宋体" w:cs="仿宋"/>
          <w:kern w:val="2"/>
          <w:szCs w:val="21"/>
        </w:rPr>
      </w:pPr>
      <w:r>
        <w:rPr>
          <w:rFonts w:hint="eastAsia" w:hAnsi="宋体" w:cs="仿宋"/>
          <w:kern w:val="2"/>
          <w:szCs w:val="21"/>
        </w:rPr>
        <w:t>（5）考核方法</w:t>
      </w:r>
    </w:p>
    <w:p>
      <w:pPr>
        <w:ind w:firstLine="420" w:firstLineChars="200"/>
        <w:rPr>
          <w:rFonts w:hAnsi="宋体" w:cs="仿宋"/>
          <w:kern w:val="2"/>
          <w:szCs w:val="21"/>
        </w:rPr>
      </w:pPr>
      <w:r>
        <w:rPr>
          <w:rFonts w:hint="eastAsia" w:hAnsi="宋体" w:cs="仿宋"/>
          <w:kern w:val="2"/>
          <w:szCs w:val="21"/>
        </w:rPr>
        <w:t>考核内容及评分细则按下表执行：</w:t>
      </w:r>
    </w:p>
    <w:tbl>
      <w:tblPr>
        <w:tblStyle w:val="85"/>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884"/>
        <w:gridCol w:w="958"/>
        <w:gridCol w:w="5450"/>
        <w:gridCol w:w="767"/>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Align w:val="center"/>
          </w:tcPr>
          <w:p>
            <w:pPr>
              <w:widowControl w:val="0"/>
              <w:shd w:val="clear" w:color="auto" w:fill="auto"/>
              <w:tabs>
                <w:tab w:val="clear" w:pos="426"/>
              </w:tabs>
              <w:adjustRightInd/>
              <w:snapToGrid/>
              <w:spacing w:line="240" w:lineRule="auto"/>
              <w:jc w:val="center"/>
              <w:rPr>
                <w:rFonts w:hAnsi="宋体" w:cs="仿宋"/>
                <w:b/>
                <w:kern w:val="2"/>
                <w:szCs w:val="21"/>
                <w:lang w:val="zh-CN"/>
              </w:rPr>
            </w:pPr>
            <w:r>
              <w:rPr>
                <w:rFonts w:hint="eastAsia" w:hAnsi="宋体" w:cs="仿宋"/>
                <w:b/>
                <w:kern w:val="2"/>
                <w:szCs w:val="21"/>
                <w:lang w:val="zh-CN"/>
              </w:rPr>
              <w:t>序号</w:t>
            </w:r>
          </w:p>
        </w:tc>
        <w:tc>
          <w:tcPr>
            <w:tcW w:w="884" w:type="dxa"/>
            <w:vAlign w:val="center"/>
          </w:tcPr>
          <w:p>
            <w:pPr>
              <w:widowControl w:val="0"/>
              <w:shd w:val="clear" w:color="auto" w:fill="auto"/>
              <w:tabs>
                <w:tab w:val="clear" w:pos="426"/>
              </w:tabs>
              <w:adjustRightInd/>
              <w:snapToGrid/>
              <w:spacing w:line="240" w:lineRule="auto"/>
              <w:jc w:val="center"/>
              <w:rPr>
                <w:rFonts w:hAnsi="宋体" w:cs="仿宋"/>
                <w:b/>
                <w:kern w:val="2"/>
                <w:szCs w:val="21"/>
                <w:lang w:val="zh-CN"/>
              </w:rPr>
            </w:pPr>
            <w:r>
              <w:rPr>
                <w:rFonts w:hint="eastAsia" w:hAnsi="宋体" w:cs="仿宋"/>
                <w:b/>
                <w:kern w:val="2"/>
                <w:szCs w:val="21"/>
                <w:lang w:val="zh-CN"/>
              </w:rPr>
              <w:t>类别</w:t>
            </w:r>
          </w:p>
        </w:tc>
        <w:tc>
          <w:tcPr>
            <w:tcW w:w="958" w:type="dxa"/>
            <w:vAlign w:val="center"/>
          </w:tcPr>
          <w:p>
            <w:pPr>
              <w:widowControl w:val="0"/>
              <w:shd w:val="clear" w:color="auto" w:fill="auto"/>
              <w:tabs>
                <w:tab w:val="clear" w:pos="426"/>
              </w:tabs>
              <w:adjustRightInd/>
              <w:snapToGrid/>
              <w:spacing w:line="240" w:lineRule="auto"/>
              <w:jc w:val="center"/>
              <w:rPr>
                <w:rFonts w:hAnsi="宋体" w:cs="仿宋"/>
                <w:b/>
                <w:kern w:val="2"/>
                <w:szCs w:val="21"/>
                <w:lang w:val="zh-CN"/>
              </w:rPr>
            </w:pPr>
            <w:r>
              <w:rPr>
                <w:rFonts w:hint="eastAsia" w:hAnsi="宋体" w:cs="仿宋"/>
                <w:b/>
                <w:kern w:val="2"/>
                <w:szCs w:val="21"/>
                <w:lang w:val="zh-CN"/>
              </w:rPr>
              <w:t>内容</w:t>
            </w:r>
          </w:p>
        </w:tc>
        <w:tc>
          <w:tcPr>
            <w:tcW w:w="5450" w:type="dxa"/>
            <w:vAlign w:val="center"/>
          </w:tcPr>
          <w:p>
            <w:pPr>
              <w:widowControl w:val="0"/>
              <w:shd w:val="clear" w:color="auto" w:fill="auto"/>
              <w:tabs>
                <w:tab w:val="clear" w:pos="426"/>
              </w:tabs>
              <w:adjustRightInd/>
              <w:snapToGrid/>
              <w:spacing w:line="240" w:lineRule="auto"/>
              <w:ind w:firstLine="426"/>
              <w:jc w:val="center"/>
              <w:rPr>
                <w:rFonts w:hAnsi="宋体" w:cs="仿宋"/>
                <w:b/>
                <w:kern w:val="2"/>
                <w:szCs w:val="21"/>
                <w:lang w:val="zh-CN"/>
              </w:rPr>
            </w:pPr>
            <w:r>
              <w:rPr>
                <w:rFonts w:hint="eastAsia" w:hAnsi="宋体" w:cs="仿宋"/>
                <w:b/>
                <w:kern w:val="2"/>
                <w:szCs w:val="21"/>
                <w:lang w:val="zh-CN"/>
              </w:rPr>
              <w:t>评分细则</w:t>
            </w:r>
          </w:p>
        </w:tc>
        <w:tc>
          <w:tcPr>
            <w:tcW w:w="767" w:type="dxa"/>
            <w:vAlign w:val="center"/>
          </w:tcPr>
          <w:p>
            <w:pPr>
              <w:widowControl w:val="0"/>
              <w:shd w:val="clear" w:color="auto" w:fill="auto"/>
              <w:tabs>
                <w:tab w:val="clear" w:pos="426"/>
              </w:tabs>
              <w:adjustRightInd/>
              <w:snapToGrid/>
              <w:spacing w:line="240" w:lineRule="auto"/>
              <w:jc w:val="center"/>
              <w:rPr>
                <w:rFonts w:hAnsi="宋体" w:cs="仿宋"/>
                <w:b/>
                <w:kern w:val="2"/>
                <w:szCs w:val="21"/>
                <w:lang w:val="zh-CN"/>
              </w:rPr>
            </w:pPr>
            <w:r>
              <w:rPr>
                <w:rFonts w:hint="eastAsia" w:hAnsi="宋体" w:cs="仿宋"/>
                <w:b/>
                <w:kern w:val="2"/>
                <w:szCs w:val="21"/>
                <w:lang w:val="zh-CN"/>
              </w:rPr>
              <w:t>分值</w:t>
            </w:r>
          </w:p>
        </w:tc>
        <w:tc>
          <w:tcPr>
            <w:tcW w:w="718" w:type="dxa"/>
            <w:vAlign w:val="center"/>
          </w:tcPr>
          <w:p>
            <w:pPr>
              <w:widowControl w:val="0"/>
              <w:shd w:val="clear" w:color="auto" w:fill="auto"/>
              <w:tabs>
                <w:tab w:val="clear" w:pos="426"/>
              </w:tabs>
              <w:adjustRightInd/>
              <w:snapToGrid/>
              <w:spacing w:line="240" w:lineRule="auto"/>
              <w:jc w:val="center"/>
              <w:rPr>
                <w:rFonts w:hAnsi="宋体" w:cs="仿宋"/>
                <w:b/>
                <w:kern w:val="2"/>
                <w:szCs w:val="21"/>
                <w:lang w:val="zh-CN"/>
              </w:rPr>
            </w:pPr>
            <w:r>
              <w:rPr>
                <w:rFonts w:hint="eastAsia" w:hAnsi="宋体" w:cs="仿宋"/>
                <w:b/>
                <w:kern w:val="2"/>
                <w:szCs w:val="21"/>
                <w:lang w:val="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1</w:t>
            </w:r>
          </w:p>
        </w:tc>
        <w:tc>
          <w:tcPr>
            <w:tcW w:w="884"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价格方面</w:t>
            </w: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价格执行情况</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是否依时报价（每月20日前），建立完善的报价机制；是否存在临时补货物品价格虚高的情况；是否存在对账单价格乱报、错报等的情况；是否存在月度结算对账不及时情况。每发现1次，扣2分，累计最高扣分</w:t>
            </w:r>
            <w:r>
              <w:rPr>
                <w:rFonts w:hint="eastAsia" w:hAnsi="宋体" w:cs="仿宋"/>
                <w:kern w:val="2"/>
                <w:szCs w:val="21"/>
              </w:rPr>
              <w:t>10</w:t>
            </w:r>
            <w:r>
              <w:rPr>
                <w:rFonts w:hint="eastAsia" w:hAnsi="宋体" w:cs="仿宋"/>
                <w:kern w:val="2"/>
                <w:szCs w:val="21"/>
                <w:lang w:val="zh-CN"/>
              </w:rPr>
              <w:t>分。</w:t>
            </w:r>
          </w:p>
        </w:tc>
        <w:tc>
          <w:tcPr>
            <w:tcW w:w="767" w:type="dxa"/>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10</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2</w:t>
            </w:r>
          </w:p>
        </w:tc>
        <w:tc>
          <w:tcPr>
            <w:tcW w:w="884" w:type="dxa"/>
            <w:vMerge w:val="restart"/>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质量方面</w:t>
            </w: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物品质量</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配送物品是否存在霉烂、变质、过期、破损、品种不达标等不符质量要求的情况；是否存在以次充好达不到采购方要求的情况。每退换货及时补回的每次扣1分/品种，每退换货未能及时补回的每次扣2分/品种。情节严重的、影响开餐的直接扣10分，累计每月最高扣分1</w:t>
            </w:r>
            <w:r>
              <w:rPr>
                <w:rFonts w:hint="eastAsia" w:hAnsi="宋体" w:cs="仿宋"/>
                <w:kern w:val="2"/>
                <w:szCs w:val="21"/>
              </w:rPr>
              <w:t>0</w:t>
            </w:r>
            <w:r>
              <w:rPr>
                <w:rFonts w:hint="eastAsia" w:hAnsi="宋体" w:cs="仿宋"/>
                <w:kern w:val="2"/>
                <w:szCs w:val="21"/>
                <w:lang w:val="zh-CN"/>
              </w:rPr>
              <w:t>分。</w:t>
            </w:r>
          </w:p>
        </w:tc>
        <w:tc>
          <w:tcPr>
            <w:tcW w:w="767"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rPr>
            </w:pPr>
            <w:r>
              <w:rPr>
                <w:rFonts w:hint="eastAsia" w:hAnsi="宋体" w:cs="仿宋"/>
                <w:kern w:val="2"/>
                <w:szCs w:val="21"/>
              </w:rPr>
              <w:t>25</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884"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食品检测</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采购方对配送物品进行食品安全检测，每发现1项不合格的，直接扣10分。</w:t>
            </w:r>
          </w:p>
        </w:tc>
        <w:tc>
          <w:tcPr>
            <w:tcW w:w="767"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718" w:type="dxa"/>
            <w:vMerge w:val="restart"/>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884"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索证制度</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是否建立相应的追踪深渊体系，专门台账档案；是否有清晰的货物来源或产地；是否及时提供相关的票、据、证等材料。每发现1次扣1分/品种，累计每月最高扣分5分。</w:t>
            </w:r>
          </w:p>
        </w:tc>
        <w:tc>
          <w:tcPr>
            <w:tcW w:w="767"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718"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3</w:t>
            </w:r>
          </w:p>
        </w:tc>
        <w:tc>
          <w:tcPr>
            <w:tcW w:w="884"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数量方面</w:t>
            </w: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物品数量</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是否存在缺斤少两的情况；是否按照采购方订单品种和数量进行配送物品。与订单数量相差10%，扣1分；相差20%，扣2分；相差30%，扣5分；与订单品种每缺少1个品种，扣1分；累计每月最高扣分10分。</w:t>
            </w:r>
          </w:p>
        </w:tc>
        <w:tc>
          <w:tcPr>
            <w:tcW w:w="767"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10</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4</w:t>
            </w:r>
          </w:p>
        </w:tc>
        <w:tc>
          <w:tcPr>
            <w:tcW w:w="884" w:type="dxa"/>
            <w:vMerge w:val="restart"/>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时间方面</w:t>
            </w: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配送及时性</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迟于早上（</w:t>
            </w:r>
            <w:r>
              <w:rPr>
                <w:rFonts w:hint="eastAsia" w:hAnsi="宋体" w:cs="仿宋"/>
                <w:kern w:val="2"/>
                <w:szCs w:val="21"/>
              </w:rPr>
              <w:t>6</w:t>
            </w:r>
            <w:r>
              <w:rPr>
                <w:rFonts w:hint="eastAsia" w:hAnsi="宋体" w:cs="仿宋"/>
                <w:kern w:val="2"/>
                <w:szCs w:val="21"/>
                <w:lang w:val="zh-CN"/>
              </w:rPr>
              <w:t>点）配送的，每迟到1次扣</w:t>
            </w:r>
            <w:r>
              <w:rPr>
                <w:rFonts w:hint="eastAsia" w:hAnsi="宋体" w:cs="仿宋"/>
                <w:kern w:val="2"/>
                <w:szCs w:val="21"/>
              </w:rPr>
              <w:t>1</w:t>
            </w:r>
            <w:r>
              <w:rPr>
                <w:rFonts w:hint="eastAsia" w:hAnsi="宋体" w:cs="仿宋"/>
                <w:kern w:val="2"/>
                <w:szCs w:val="21"/>
                <w:lang w:val="zh-CN"/>
              </w:rPr>
              <w:t>分，累计每月最高扣分10分。</w:t>
            </w:r>
          </w:p>
        </w:tc>
        <w:tc>
          <w:tcPr>
            <w:tcW w:w="767"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20</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884"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应急响应时间</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是否按照采购方的要求，以最快的速度，按照招标时的承诺进行应急处理。发现1次扣5分，累计每月最高扣分10分。</w:t>
            </w:r>
          </w:p>
        </w:tc>
        <w:tc>
          <w:tcPr>
            <w:tcW w:w="767"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5</w:t>
            </w:r>
          </w:p>
        </w:tc>
        <w:tc>
          <w:tcPr>
            <w:tcW w:w="884" w:type="dxa"/>
            <w:vMerge w:val="restart"/>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卫生方面</w:t>
            </w: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配送人员</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是否有健康证，是否统一穿工服，是否存在盗取货物等情况，每发现1次扣2分，累计每月最高扣分5分。</w:t>
            </w:r>
          </w:p>
        </w:tc>
        <w:tc>
          <w:tcPr>
            <w:tcW w:w="767"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15</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884"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初加工</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是否严格按照《国家食品卫生标准》、《食品卫生法》等相关规定，对食品进行卫生安全初加工；是否初加工完成后将加工场所垃圾清理干净。每发现1次扣2分，累计每月最高扣分10分。</w:t>
            </w:r>
          </w:p>
        </w:tc>
        <w:tc>
          <w:tcPr>
            <w:tcW w:w="767"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6</w:t>
            </w:r>
          </w:p>
        </w:tc>
        <w:tc>
          <w:tcPr>
            <w:tcW w:w="884" w:type="dxa"/>
            <w:vMerge w:val="restart"/>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态度方面</w:t>
            </w: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服务态度</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供应商服务态度是否良好。每接到1次有效投诉扣5分，累计每月最高扣分10分。</w:t>
            </w:r>
          </w:p>
        </w:tc>
        <w:tc>
          <w:tcPr>
            <w:tcW w:w="767" w:type="dxa"/>
            <w:vMerge w:val="restart"/>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20</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8"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884"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958"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反馈整改情况</w:t>
            </w:r>
          </w:p>
        </w:tc>
        <w:tc>
          <w:tcPr>
            <w:tcW w:w="5450" w:type="dxa"/>
            <w:vAlign w:val="center"/>
          </w:tcPr>
          <w:p>
            <w:pPr>
              <w:widowControl w:val="0"/>
              <w:shd w:val="clear" w:color="auto" w:fill="auto"/>
              <w:tabs>
                <w:tab w:val="clear" w:pos="426"/>
              </w:tabs>
              <w:adjustRightInd/>
              <w:snapToGrid/>
              <w:spacing w:line="240" w:lineRule="auto"/>
              <w:rPr>
                <w:rFonts w:hAnsi="宋体" w:cs="仿宋"/>
                <w:kern w:val="2"/>
                <w:szCs w:val="21"/>
                <w:lang w:val="zh-CN"/>
              </w:rPr>
            </w:pPr>
            <w:r>
              <w:rPr>
                <w:rFonts w:hint="eastAsia" w:hAnsi="宋体" w:cs="仿宋"/>
                <w:kern w:val="2"/>
                <w:szCs w:val="21"/>
                <w:lang w:val="zh-CN"/>
              </w:rPr>
              <w:t>是否对采购方的反馈意见进行认真及时的整改，每发现1次扣5分，累计每月最高扣分10分。</w:t>
            </w:r>
          </w:p>
        </w:tc>
        <w:tc>
          <w:tcPr>
            <w:tcW w:w="767" w:type="dxa"/>
            <w:vMerge w:val="continue"/>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40" w:type="dxa"/>
            <w:gridSpan w:val="3"/>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总分</w:t>
            </w:r>
          </w:p>
        </w:tc>
        <w:tc>
          <w:tcPr>
            <w:tcW w:w="5450"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c>
          <w:tcPr>
            <w:tcW w:w="767" w:type="dxa"/>
            <w:vAlign w:val="center"/>
          </w:tcPr>
          <w:p>
            <w:pPr>
              <w:widowControl w:val="0"/>
              <w:shd w:val="clear" w:color="auto" w:fill="auto"/>
              <w:tabs>
                <w:tab w:val="clear" w:pos="426"/>
              </w:tabs>
              <w:adjustRightInd/>
              <w:snapToGrid/>
              <w:spacing w:line="240" w:lineRule="auto"/>
              <w:jc w:val="center"/>
              <w:rPr>
                <w:rFonts w:hAnsi="宋体" w:cs="仿宋"/>
                <w:kern w:val="2"/>
                <w:szCs w:val="21"/>
                <w:lang w:val="zh-CN"/>
              </w:rPr>
            </w:pPr>
            <w:r>
              <w:rPr>
                <w:rFonts w:hint="eastAsia" w:hAnsi="宋体" w:cs="仿宋"/>
                <w:kern w:val="2"/>
                <w:szCs w:val="21"/>
                <w:lang w:val="zh-CN"/>
              </w:rPr>
              <w:t>100</w:t>
            </w:r>
          </w:p>
        </w:tc>
        <w:tc>
          <w:tcPr>
            <w:tcW w:w="718" w:type="dxa"/>
            <w:vAlign w:val="center"/>
          </w:tcPr>
          <w:p>
            <w:pPr>
              <w:widowControl w:val="0"/>
              <w:shd w:val="clear" w:color="auto" w:fill="auto"/>
              <w:tabs>
                <w:tab w:val="clear" w:pos="426"/>
              </w:tabs>
              <w:adjustRightInd/>
              <w:snapToGrid/>
              <w:spacing w:line="240" w:lineRule="auto"/>
              <w:ind w:firstLine="426"/>
              <w:jc w:val="center"/>
              <w:rPr>
                <w:rFonts w:hAnsi="宋体" w:cs="仿宋"/>
                <w:kern w:val="2"/>
                <w:szCs w:val="21"/>
                <w:lang w:val="zh-CN"/>
              </w:rPr>
            </w:pPr>
          </w:p>
        </w:tc>
      </w:tr>
    </w:tbl>
    <w:p>
      <w:pPr>
        <w:rPr>
          <w:rFonts w:hAnsi="宋体" w:cs="仿宋"/>
          <w:b/>
          <w:bCs/>
          <w:kern w:val="2"/>
          <w:szCs w:val="21"/>
        </w:rPr>
      </w:pPr>
      <w:r>
        <w:rPr>
          <w:rFonts w:hint="eastAsia" w:hAnsi="宋体" w:cs="仿宋"/>
          <w:b/>
          <w:bCs/>
          <w:kern w:val="2"/>
          <w:szCs w:val="21"/>
        </w:rPr>
        <w:t>备注：采购方根据考核评分作明每季度供货商履约评价的依据，考核分数大于80分的（含80）为优。</w:t>
      </w:r>
    </w:p>
    <w:p>
      <w:pPr>
        <w:pStyle w:val="62"/>
        <w:tabs>
          <w:tab w:val="clear" w:pos="426"/>
        </w:tabs>
        <w:ind w:firstLine="566"/>
      </w:pPr>
      <w:r>
        <w:br w:type="page"/>
      </w:r>
      <w:bookmarkStart w:id="74" w:name="_Toc120892177"/>
      <w:r>
        <w:rPr>
          <w:rFonts w:hint="eastAsia"/>
        </w:rPr>
        <w:t>第五章</w:t>
      </w:r>
      <w:r>
        <w:t xml:space="preserve"> </w:t>
      </w:r>
      <w:r>
        <w:rPr>
          <w:rFonts w:hint="eastAsia"/>
        </w:rPr>
        <w:t>投标文件格式、附件</w:t>
      </w:r>
      <w:bookmarkEnd w:id="72"/>
      <w:bookmarkEnd w:id="73"/>
      <w:bookmarkEnd w:id="74"/>
    </w:p>
    <w:p>
      <w:pPr>
        <w:tabs>
          <w:tab w:val="clear" w:pos="426"/>
        </w:tabs>
        <w:spacing w:line="276" w:lineRule="auto"/>
        <w:ind w:firstLine="487"/>
      </w:pPr>
      <w:r>
        <w:rPr>
          <w:rStyle w:val="127"/>
          <w:rFonts w:hint="eastAsia" w:ascii="宋体" w:eastAsia="宋体"/>
          <w:sz w:val="24"/>
        </w:rPr>
        <w:t>特别提醒：</w:t>
      </w:r>
      <w:r>
        <w:rPr>
          <w:rFonts w:hint="eastAsia"/>
        </w:rPr>
        <w:t>投标供应商在编辑投标文件时，应严格按照招标文件提供的格式进行编写，因未按要求编写导致投标文件不予受理、无效标或废标的，一切后果由供应商自行承担。</w:t>
      </w:r>
    </w:p>
    <w:p>
      <w:pPr>
        <w:tabs>
          <w:tab w:val="clear" w:pos="426"/>
        </w:tabs>
        <w:spacing w:line="276" w:lineRule="auto"/>
      </w:pPr>
    </w:p>
    <w:p>
      <w:pPr>
        <w:tabs>
          <w:tab w:val="clear" w:pos="426"/>
        </w:tabs>
        <w:spacing w:line="276" w:lineRule="auto"/>
      </w:pPr>
    </w:p>
    <w:p>
      <w:pPr>
        <w:tabs>
          <w:tab w:val="clear" w:pos="426"/>
        </w:tabs>
        <w:spacing w:line="276" w:lineRule="auto"/>
      </w:pPr>
      <w:r>
        <w:rPr>
          <w:rFonts w:hint="eastAsia"/>
        </w:rPr>
        <w:t>投标文件组成：</w:t>
      </w:r>
    </w:p>
    <w:p>
      <w:pPr>
        <w:tabs>
          <w:tab w:val="clear" w:pos="426"/>
        </w:tabs>
        <w:spacing w:line="276" w:lineRule="auto"/>
      </w:pPr>
    </w:p>
    <w:p>
      <w:pPr>
        <w:tabs>
          <w:tab w:val="clear" w:pos="426"/>
        </w:tabs>
        <w:spacing w:line="276" w:lineRule="auto"/>
      </w:pPr>
      <w:r>
        <w:rPr>
          <w:rFonts w:hint="eastAsia"/>
        </w:rPr>
        <w:t>密封袋封条格式</w:t>
      </w:r>
    </w:p>
    <w:p>
      <w:pPr>
        <w:tabs>
          <w:tab w:val="clear" w:pos="426"/>
        </w:tabs>
        <w:spacing w:line="276" w:lineRule="auto"/>
      </w:pPr>
      <w:r>
        <w:rPr>
          <w:rFonts w:hint="eastAsia"/>
        </w:rPr>
        <w:t>投标文件封面格式</w:t>
      </w:r>
    </w:p>
    <w:p>
      <w:pPr>
        <w:tabs>
          <w:tab w:val="clear" w:pos="426"/>
        </w:tabs>
        <w:spacing w:line="276" w:lineRule="auto"/>
      </w:pPr>
      <w:r>
        <w:rPr>
          <w:rFonts w:hint="eastAsia"/>
        </w:rPr>
        <w:t>目录（目录格式自定）</w:t>
      </w:r>
    </w:p>
    <w:p>
      <w:pPr>
        <w:tabs>
          <w:tab w:val="clear" w:pos="426"/>
        </w:tabs>
        <w:spacing w:line="276" w:lineRule="auto"/>
      </w:pPr>
      <w:r>
        <w:rPr>
          <w:rFonts w:hint="eastAsia"/>
        </w:rPr>
        <w:t>评标指引表</w:t>
      </w:r>
    </w:p>
    <w:p>
      <w:pPr>
        <w:tabs>
          <w:tab w:val="clear" w:pos="426"/>
        </w:tabs>
        <w:spacing w:line="276" w:lineRule="auto"/>
      </w:pPr>
    </w:p>
    <w:p>
      <w:pPr>
        <w:numPr>
          <w:ilvl w:val="1"/>
          <w:numId w:val="34"/>
        </w:numPr>
        <w:tabs>
          <w:tab w:val="clear" w:pos="426"/>
        </w:tabs>
        <w:spacing w:line="276" w:lineRule="auto"/>
        <w:ind w:firstLine="426"/>
      </w:pPr>
      <w:r>
        <w:rPr>
          <w:rFonts w:hint="eastAsia"/>
        </w:rPr>
        <w:t>投标函</w:t>
      </w:r>
    </w:p>
    <w:p>
      <w:pPr>
        <w:numPr>
          <w:ilvl w:val="1"/>
          <w:numId w:val="34"/>
        </w:numPr>
        <w:tabs>
          <w:tab w:val="clear" w:pos="426"/>
        </w:tabs>
        <w:spacing w:line="276" w:lineRule="auto"/>
        <w:ind w:firstLine="426"/>
      </w:pPr>
      <w:r>
        <w:rPr>
          <w:rFonts w:hint="eastAsia"/>
        </w:rPr>
        <w:t>政府采购投标及履约承诺函</w:t>
      </w:r>
    </w:p>
    <w:p>
      <w:pPr>
        <w:numPr>
          <w:ilvl w:val="1"/>
          <w:numId w:val="34"/>
        </w:numPr>
        <w:tabs>
          <w:tab w:val="clear" w:pos="426"/>
        </w:tabs>
        <w:spacing w:line="276" w:lineRule="auto"/>
        <w:ind w:firstLine="426"/>
      </w:pPr>
      <w:r>
        <w:rPr>
          <w:rFonts w:hint="eastAsia"/>
        </w:rPr>
        <w:t>法定代表人授权委托书、法定代表人证明书</w:t>
      </w:r>
    </w:p>
    <w:p>
      <w:pPr>
        <w:numPr>
          <w:ilvl w:val="1"/>
          <w:numId w:val="34"/>
        </w:numPr>
        <w:tabs>
          <w:tab w:val="clear" w:pos="426"/>
        </w:tabs>
        <w:spacing w:line="276" w:lineRule="auto"/>
        <w:ind w:firstLine="426"/>
      </w:pPr>
      <w:r>
        <w:rPr>
          <w:rFonts w:hint="eastAsia"/>
        </w:rPr>
        <w:t>投标供应商基本情况表</w:t>
      </w:r>
    </w:p>
    <w:p>
      <w:pPr>
        <w:numPr>
          <w:ilvl w:val="1"/>
          <w:numId w:val="34"/>
        </w:numPr>
        <w:tabs>
          <w:tab w:val="clear" w:pos="426"/>
        </w:tabs>
        <w:spacing w:line="276" w:lineRule="auto"/>
        <w:ind w:firstLine="426"/>
      </w:pPr>
      <w:r>
        <w:rPr>
          <w:rFonts w:hint="eastAsia"/>
        </w:rPr>
        <w:t>开标一览表（报价表）</w:t>
      </w:r>
    </w:p>
    <w:p>
      <w:pPr>
        <w:numPr>
          <w:ilvl w:val="1"/>
          <w:numId w:val="34"/>
        </w:numPr>
        <w:tabs>
          <w:tab w:val="clear" w:pos="426"/>
        </w:tabs>
        <w:spacing w:line="276" w:lineRule="auto"/>
        <w:ind w:firstLine="426"/>
      </w:pPr>
      <w:r>
        <w:rPr>
          <w:rFonts w:hint="eastAsia"/>
        </w:rPr>
        <w:t>实质性响应条款偏离表</w:t>
      </w:r>
    </w:p>
    <w:p>
      <w:pPr>
        <w:numPr>
          <w:ilvl w:val="1"/>
          <w:numId w:val="34"/>
        </w:numPr>
        <w:tabs>
          <w:tab w:val="clear" w:pos="426"/>
        </w:tabs>
        <w:spacing w:line="276" w:lineRule="auto"/>
        <w:ind w:firstLine="426"/>
      </w:pPr>
      <w:r>
        <w:rPr>
          <w:rFonts w:hint="eastAsia"/>
        </w:rPr>
        <w:t>项目需求响应情况表（实质性条款除外）</w:t>
      </w:r>
    </w:p>
    <w:p>
      <w:pPr>
        <w:numPr>
          <w:ilvl w:val="1"/>
          <w:numId w:val="34"/>
        </w:numPr>
        <w:tabs>
          <w:tab w:val="clear" w:pos="426"/>
        </w:tabs>
        <w:spacing w:line="276" w:lineRule="auto"/>
        <w:ind w:firstLine="426"/>
      </w:pPr>
      <w:r>
        <w:rPr>
          <w:rFonts w:hint="eastAsia"/>
        </w:rPr>
        <w:t>同类项目经验</w:t>
      </w:r>
    </w:p>
    <w:p>
      <w:pPr>
        <w:numPr>
          <w:ilvl w:val="1"/>
          <w:numId w:val="34"/>
        </w:numPr>
        <w:tabs>
          <w:tab w:val="clear" w:pos="426"/>
        </w:tabs>
        <w:spacing w:line="276" w:lineRule="auto"/>
        <w:ind w:firstLine="426"/>
      </w:pPr>
      <w:r>
        <w:rPr>
          <w:rFonts w:hint="eastAsia"/>
        </w:rPr>
        <w:t>投标人履约评价</w:t>
      </w:r>
    </w:p>
    <w:p>
      <w:pPr>
        <w:numPr>
          <w:ilvl w:val="1"/>
          <w:numId w:val="34"/>
        </w:numPr>
        <w:tabs>
          <w:tab w:val="clear" w:pos="426"/>
        </w:tabs>
        <w:spacing w:line="276" w:lineRule="auto"/>
        <w:ind w:firstLine="426"/>
      </w:pPr>
      <w:r>
        <w:rPr>
          <w:rFonts w:hint="eastAsia"/>
        </w:rPr>
        <w:t>管理体系认证情况</w:t>
      </w:r>
    </w:p>
    <w:p>
      <w:pPr>
        <w:numPr>
          <w:ilvl w:val="1"/>
          <w:numId w:val="34"/>
        </w:numPr>
        <w:tabs>
          <w:tab w:val="clear" w:pos="426"/>
        </w:tabs>
        <w:spacing w:line="276" w:lineRule="auto"/>
        <w:ind w:firstLine="426"/>
      </w:pPr>
      <w:r>
        <w:rPr>
          <w:rFonts w:hint="eastAsia"/>
        </w:rPr>
        <w:t>产品认证情况</w:t>
      </w:r>
    </w:p>
    <w:p>
      <w:pPr>
        <w:numPr>
          <w:ilvl w:val="1"/>
          <w:numId w:val="34"/>
        </w:numPr>
        <w:tabs>
          <w:tab w:val="clear" w:pos="426"/>
        </w:tabs>
        <w:spacing w:line="276" w:lineRule="auto"/>
        <w:ind w:firstLine="426"/>
      </w:pPr>
      <w:r>
        <w:rPr>
          <w:rFonts w:hint="eastAsia"/>
        </w:rPr>
        <w:t>食品安全保险</w:t>
      </w:r>
    </w:p>
    <w:p>
      <w:pPr>
        <w:numPr>
          <w:ilvl w:val="1"/>
          <w:numId w:val="34"/>
        </w:numPr>
        <w:tabs>
          <w:tab w:val="clear" w:pos="426"/>
        </w:tabs>
        <w:spacing w:line="276" w:lineRule="auto"/>
        <w:ind w:firstLine="426"/>
      </w:pPr>
      <w:r>
        <w:rPr>
          <w:rFonts w:hint="eastAsia"/>
        </w:rPr>
        <w:t>食品溯源系统</w:t>
      </w:r>
    </w:p>
    <w:p>
      <w:pPr>
        <w:numPr>
          <w:ilvl w:val="1"/>
          <w:numId w:val="34"/>
        </w:numPr>
        <w:tabs>
          <w:tab w:val="clear" w:pos="426"/>
        </w:tabs>
        <w:spacing w:line="276" w:lineRule="auto"/>
        <w:ind w:firstLine="426"/>
      </w:pPr>
      <w:r>
        <w:rPr>
          <w:rFonts w:hint="eastAsia"/>
        </w:rPr>
        <w:t>项目服务方案</w:t>
      </w:r>
    </w:p>
    <w:p>
      <w:pPr>
        <w:numPr>
          <w:ilvl w:val="1"/>
          <w:numId w:val="34"/>
        </w:numPr>
        <w:tabs>
          <w:tab w:val="clear" w:pos="426"/>
        </w:tabs>
        <w:spacing w:line="276" w:lineRule="auto"/>
        <w:ind w:firstLine="426"/>
      </w:pPr>
      <w:r>
        <w:rPr>
          <w:rFonts w:hint="eastAsia"/>
        </w:rPr>
        <w:t>配送保障能力</w:t>
      </w:r>
    </w:p>
    <w:p>
      <w:pPr>
        <w:numPr>
          <w:ilvl w:val="1"/>
          <w:numId w:val="34"/>
        </w:numPr>
        <w:tabs>
          <w:tab w:val="clear" w:pos="426"/>
        </w:tabs>
        <w:spacing w:line="276" w:lineRule="auto"/>
        <w:ind w:firstLine="426"/>
      </w:pPr>
      <w:r>
        <w:rPr>
          <w:rFonts w:hint="eastAsia"/>
        </w:rPr>
        <w:t>服务配套的设备</w:t>
      </w:r>
    </w:p>
    <w:p>
      <w:pPr>
        <w:numPr>
          <w:ilvl w:val="1"/>
          <w:numId w:val="34"/>
        </w:numPr>
        <w:tabs>
          <w:tab w:val="clear" w:pos="426"/>
        </w:tabs>
        <w:spacing w:line="276" w:lineRule="auto"/>
        <w:ind w:firstLine="426"/>
      </w:pPr>
      <w:r>
        <w:rPr>
          <w:rFonts w:hint="eastAsia"/>
        </w:rPr>
        <w:t>第三方食材检测</w:t>
      </w:r>
    </w:p>
    <w:p>
      <w:pPr>
        <w:numPr>
          <w:ilvl w:val="1"/>
          <w:numId w:val="34"/>
        </w:numPr>
        <w:tabs>
          <w:tab w:val="clear" w:pos="426"/>
        </w:tabs>
        <w:spacing w:line="276" w:lineRule="auto"/>
        <w:ind w:firstLine="426"/>
      </w:pPr>
      <w:r>
        <w:rPr>
          <w:rFonts w:hint="eastAsia"/>
        </w:rPr>
        <w:t>基地建设</w:t>
      </w:r>
    </w:p>
    <w:p>
      <w:pPr>
        <w:numPr>
          <w:ilvl w:val="1"/>
          <w:numId w:val="34"/>
        </w:numPr>
        <w:tabs>
          <w:tab w:val="clear" w:pos="426"/>
        </w:tabs>
        <w:spacing w:line="276" w:lineRule="auto"/>
        <w:ind w:firstLine="426"/>
      </w:pPr>
      <w:r>
        <w:rPr>
          <w:rFonts w:hint="eastAsia"/>
        </w:rPr>
        <w:t>拟派本项目团队人员</w:t>
      </w:r>
    </w:p>
    <w:p>
      <w:pPr>
        <w:numPr>
          <w:ilvl w:val="1"/>
          <w:numId w:val="34"/>
        </w:numPr>
        <w:tabs>
          <w:tab w:val="clear" w:pos="426"/>
        </w:tabs>
        <w:spacing w:line="276" w:lineRule="auto"/>
        <w:ind w:firstLine="426"/>
      </w:pPr>
      <w:r>
        <w:rPr>
          <w:rFonts w:hint="eastAsia"/>
        </w:rPr>
        <w:t>拟投入本项目配送场所</w:t>
      </w:r>
    </w:p>
    <w:p>
      <w:pPr>
        <w:numPr>
          <w:ilvl w:val="1"/>
          <w:numId w:val="34"/>
        </w:numPr>
        <w:tabs>
          <w:tab w:val="clear" w:pos="426"/>
        </w:tabs>
        <w:spacing w:line="276" w:lineRule="auto"/>
        <w:ind w:firstLine="426"/>
      </w:pPr>
      <w:r>
        <w:rPr>
          <w:rFonts w:hint="eastAsia"/>
        </w:rPr>
        <w:t>冷库面积</w:t>
      </w:r>
    </w:p>
    <w:p>
      <w:pPr>
        <w:numPr>
          <w:ilvl w:val="1"/>
          <w:numId w:val="34"/>
        </w:numPr>
        <w:tabs>
          <w:tab w:val="clear" w:pos="426"/>
        </w:tabs>
        <w:spacing w:line="276" w:lineRule="auto"/>
        <w:ind w:firstLine="426"/>
        <w:rPr>
          <w:rFonts w:hAnsi="宋体"/>
          <w:szCs w:val="21"/>
        </w:rPr>
      </w:pPr>
      <w:r>
        <w:rPr>
          <w:rFonts w:hint="eastAsia" w:hAnsi="宋体"/>
          <w:szCs w:val="21"/>
        </w:rPr>
        <w:t>招标代理服务费承诺书</w:t>
      </w:r>
    </w:p>
    <w:p>
      <w:pPr>
        <w:numPr>
          <w:ilvl w:val="1"/>
          <w:numId w:val="34"/>
        </w:numPr>
        <w:tabs>
          <w:tab w:val="clear" w:pos="426"/>
        </w:tabs>
        <w:spacing w:line="276" w:lineRule="auto"/>
        <w:ind w:firstLine="426"/>
        <w:rPr>
          <w:rFonts w:hAnsi="宋体"/>
          <w:szCs w:val="21"/>
        </w:rPr>
      </w:pPr>
      <w:r>
        <w:rPr>
          <w:rFonts w:hint="eastAsia" w:hAnsi="宋体"/>
          <w:szCs w:val="21"/>
        </w:rPr>
        <w:t>招标文件要求的其他内容及投标供应商认为需要加以说明的其他内容</w:t>
      </w:r>
    </w:p>
    <w:p>
      <w:pPr>
        <w:adjustRightInd/>
        <w:snapToGrid/>
        <w:spacing w:before="280" w:after="290" w:line="376" w:lineRule="auto"/>
        <w:jc w:val="center"/>
        <w:rPr>
          <w:b/>
          <w:sz w:val="24"/>
        </w:rPr>
      </w:pPr>
      <w:r>
        <w:br w:type="page"/>
      </w:r>
      <w:bookmarkStart w:id="75" w:name="_Toc518464366"/>
      <w:bookmarkStart w:id="76" w:name="_Toc528170806"/>
      <w:bookmarkStart w:id="77" w:name="_Toc528675178"/>
      <w:r>
        <w:rPr>
          <w:rFonts w:hint="eastAsia"/>
          <w:b/>
          <w:sz w:val="24"/>
        </w:rPr>
        <w:t>密封袋封条格式</w:t>
      </w:r>
      <w:bookmarkEnd w:id="75"/>
      <w:bookmarkEnd w:id="76"/>
      <w:bookmarkEnd w:id="77"/>
    </w:p>
    <w:p>
      <w:pPr>
        <w:tabs>
          <w:tab w:val="clear" w:pos="426"/>
        </w:tabs>
        <w:ind w:firstLine="892"/>
        <w:jc w:val="center"/>
        <w:rPr>
          <w:sz w:val="44"/>
          <w:szCs w:val="44"/>
        </w:rPr>
      </w:pPr>
    </w:p>
    <w:p>
      <w:pPr>
        <w:tabs>
          <w:tab w:val="clear" w:pos="426"/>
        </w:tabs>
        <w:ind w:firstLine="892"/>
        <w:jc w:val="center"/>
        <w:rPr>
          <w:sz w:val="44"/>
          <w:szCs w:val="44"/>
        </w:rPr>
      </w:pPr>
      <w:r>
        <w:rPr>
          <w:rFonts w:hint="eastAsia"/>
          <w:sz w:val="44"/>
          <w:szCs w:val="44"/>
        </w:rPr>
        <w:t>广东省深圳市宝安区消防救援大队2024年食堂配菜服务采购项目（A/B/C包）</w:t>
      </w:r>
      <w:r>
        <w:rPr>
          <w:sz w:val="44"/>
          <w:szCs w:val="44"/>
          <w:u w:val="single"/>
        </w:rPr>
        <w:t xml:space="preserve">   </w:t>
      </w:r>
      <w:r>
        <w:rPr>
          <w:rFonts w:hint="eastAsia"/>
          <w:sz w:val="44"/>
          <w:szCs w:val="44"/>
        </w:rPr>
        <w:t>包</w:t>
      </w:r>
    </w:p>
    <w:p>
      <w:pPr>
        <w:tabs>
          <w:tab w:val="clear" w:pos="426"/>
        </w:tabs>
        <w:jc w:val="center"/>
      </w:pPr>
    </w:p>
    <w:p>
      <w:pPr>
        <w:tabs>
          <w:tab w:val="clear" w:pos="426"/>
        </w:tabs>
        <w:jc w:val="center"/>
      </w:pPr>
    </w:p>
    <w:p>
      <w:pPr>
        <w:tabs>
          <w:tab w:val="clear" w:pos="426"/>
        </w:tabs>
        <w:ind w:firstLine="1055"/>
        <w:jc w:val="center"/>
        <w:rPr>
          <w:sz w:val="52"/>
          <w:szCs w:val="52"/>
        </w:rPr>
      </w:pPr>
      <w:r>
        <w:rPr>
          <w:rFonts w:hint="eastAsia"/>
          <w:sz w:val="52"/>
          <w:szCs w:val="52"/>
        </w:rPr>
        <w:t>□投标文件</w:t>
      </w:r>
    </w:p>
    <w:p>
      <w:pPr>
        <w:tabs>
          <w:tab w:val="clear" w:pos="426"/>
        </w:tabs>
        <w:ind w:firstLine="1055"/>
        <w:jc w:val="center"/>
        <w:rPr>
          <w:sz w:val="52"/>
          <w:szCs w:val="52"/>
        </w:rPr>
      </w:pPr>
      <w:r>
        <w:rPr>
          <w:rFonts w:hint="eastAsia"/>
          <w:sz w:val="52"/>
          <w:szCs w:val="52"/>
        </w:rPr>
        <w:t>□开标信封</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708" w:leftChars="337" w:right="706" w:rightChars="336" w:firstLine="568"/>
        <w:rPr>
          <w:sz w:val="28"/>
          <w:szCs w:val="28"/>
        </w:rPr>
      </w:pPr>
      <w:r>
        <w:rPr>
          <w:rFonts w:hint="eastAsia"/>
          <w:sz w:val="28"/>
          <w:szCs w:val="28"/>
        </w:rPr>
        <w:t>项目编号：</w:t>
      </w:r>
    </w:p>
    <w:p>
      <w:pPr>
        <w:tabs>
          <w:tab w:val="clear" w:pos="426"/>
        </w:tabs>
        <w:ind w:left="708" w:leftChars="337" w:firstLine="568"/>
        <w:rPr>
          <w:sz w:val="28"/>
          <w:szCs w:val="28"/>
        </w:rPr>
      </w:pPr>
      <w:r>
        <w:rPr>
          <w:rFonts w:hint="eastAsia"/>
          <w:sz w:val="28"/>
          <w:szCs w:val="28"/>
        </w:rPr>
        <w:t>投标供应商名称（公章</w:t>
      </w:r>
      <w:r>
        <w:rPr>
          <w:sz w:val="28"/>
          <w:szCs w:val="28"/>
        </w:rPr>
        <w:t>)</w:t>
      </w:r>
      <w:r>
        <w:rPr>
          <w:rFonts w:hint="eastAsia"/>
          <w:sz w:val="28"/>
          <w:szCs w:val="28"/>
        </w:rPr>
        <w:t>：</w:t>
      </w:r>
    </w:p>
    <w:p>
      <w:pPr>
        <w:tabs>
          <w:tab w:val="clear" w:pos="426"/>
        </w:tabs>
        <w:ind w:left="708" w:leftChars="337" w:firstLine="568"/>
        <w:rPr>
          <w:sz w:val="28"/>
          <w:szCs w:val="28"/>
        </w:rPr>
      </w:pPr>
      <w:r>
        <w:rPr>
          <w:rFonts w:hint="eastAsia"/>
          <w:sz w:val="28"/>
          <w:szCs w:val="28"/>
        </w:rPr>
        <w:t>投标供应商代表（签名）：</w:t>
      </w:r>
    </w:p>
    <w:p>
      <w:pPr>
        <w:tabs>
          <w:tab w:val="clear" w:pos="426"/>
        </w:tabs>
        <w:ind w:left="708" w:leftChars="337" w:firstLine="568"/>
        <w:rPr>
          <w:sz w:val="28"/>
          <w:szCs w:val="28"/>
        </w:rPr>
      </w:pPr>
      <w:r>
        <w:rPr>
          <w:rFonts w:hint="eastAsia"/>
          <w:sz w:val="28"/>
          <w:szCs w:val="28"/>
        </w:rPr>
        <w:t>投标截止日期：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r>
        <w:rPr>
          <w:sz w:val="28"/>
          <w:szCs w:val="28"/>
        </w:rPr>
        <w:t>____</w:t>
      </w:r>
      <w:r>
        <w:rPr>
          <w:rFonts w:hint="eastAsia"/>
          <w:sz w:val="28"/>
          <w:szCs w:val="28"/>
        </w:rPr>
        <w:t>时</w:t>
      </w:r>
      <w:r>
        <w:rPr>
          <w:sz w:val="28"/>
          <w:szCs w:val="28"/>
        </w:rPr>
        <w:t>____</w:t>
      </w:r>
      <w:r>
        <w:rPr>
          <w:rFonts w:hint="eastAsia"/>
          <w:sz w:val="28"/>
          <w:szCs w:val="28"/>
        </w:rPr>
        <w:t>分（前不得开封）</w:t>
      </w:r>
    </w:p>
    <w:p>
      <w:pPr>
        <w:adjustRightInd/>
        <w:snapToGrid/>
        <w:spacing w:before="280" w:after="290" w:line="376" w:lineRule="auto"/>
        <w:jc w:val="center"/>
        <w:rPr>
          <w:b/>
          <w:sz w:val="24"/>
        </w:rPr>
      </w:pPr>
      <w:r>
        <w:br w:type="page"/>
      </w:r>
      <w:bookmarkStart w:id="78" w:name="_Toc528675179"/>
      <w:bookmarkStart w:id="79" w:name="_Toc518464367"/>
      <w:bookmarkStart w:id="80" w:name="_Toc528170807"/>
      <w:r>
        <w:rPr>
          <w:rFonts w:hint="eastAsia"/>
          <w:b/>
          <w:sz w:val="24"/>
        </w:rPr>
        <w:t>投标文件封面格式</w:t>
      </w:r>
      <w:bookmarkEnd w:id="78"/>
      <w:bookmarkEnd w:id="79"/>
      <w:bookmarkEnd w:id="80"/>
    </w:p>
    <w:p>
      <w:pPr>
        <w:tabs>
          <w:tab w:val="clear" w:pos="426"/>
        </w:tabs>
        <w:ind w:firstLine="892"/>
        <w:jc w:val="right"/>
        <w:rPr>
          <w:sz w:val="44"/>
          <w:szCs w:val="44"/>
          <w:u w:val="single"/>
        </w:rPr>
      </w:pPr>
      <w:r>
        <w:rPr>
          <w:rFonts w:hint="eastAsia"/>
          <w:sz w:val="44"/>
          <w:szCs w:val="44"/>
          <w:u w:val="single"/>
        </w:rPr>
        <w:t>正</w:t>
      </w:r>
      <w:r>
        <w:rPr>
          <w:sz w:val="44"/>
          <w:szCs w:val="44"/>
          <w:u w:val="single"/>
        </w:rPr>
        <w:t>/</w:t>
      </w:r>
      <w:r>
        <w:rPr>
          <w:rFonts w:hint="eastAsia"/>
          <w:sz w:val="44"/>
          <w:szCs w:val="44"/>
          <w:u w:val="single"/>
        </w:rPr>
        <w:t>副本</w:t>
      </w:r>
    </w:p>
    <w:p>
      <w:pPr>
        <w:tabs>
          <w:tab w:val="clear" w:pos="426"/>
        </w:tabs>
        <w:ind w:firstLine="892"/>
        <w:jc w:val="center"/>
        <w:rPr>
          <w:sz w:val="44"/>
          <w:szCs w:val="44"/>
          <w:u w:val="single"/>
        </w:rPr>
      </w:pPr>
    </w:p>
    <w:p>
      <w:pPr>
        <w:tabs>
          <w:tab w:val="clear" w:pos="426"/>
        </w:tabs>
        <w:ind w:firstLine="892"/>
        <w:jc w:val="center"/>
        <w:rPr>
          <w:sz w:val="44"/>
          <w:szCs w:val="44"/>
        </w:rPr>
      </w:pPr>
      <w:r>
        <w:rPr>
          <w:rFonts w:hint="eastAsia"/>
          <w:sz w:val="44"/>
          <w:szCs w:val="44"/>
        </w:rPr>
        <w:t>广东省深圳市宝安区消防救援大队2024年食堂配菜服务采购项目（A/B/C包）</w:t>
      </w:r>
      <w:r>
        <w:rPr>
          <w:sz w:val="44"/>
          <w:szCs w:val="44"/>
          <w:u w:val="single"/>
        </w:rPr>
        <w:t xml:space="preserve">   </w:t>
      </w:r>
      <w:r>
        <w:rPr>
          <w:rFonts w:hint="eastAsia"/>
          <w:sz w:val="44"/>
          <w:szCs w:val="44"/>
        </w:rPr>
        <w:t>包</w:t>
      </w:r>
    </w:p>
    <w:p>
      <w:pPr>
        <w:tabs>
          <w:tab w:val="clear" w:pos="426"/>
        </w:tabs>
        <w:jc w:val="center"/>
      </w:pPr>
    </w:p>
    <w:p>
      <w:pPr>
        <w:tabs>
          <w:tab w:val="clear" w:pos="426"/>
        </w:tabs>
        <w:jc w:val="center"/>
      </w:pPr>
    </w:p>
    <w:p>
      <w:pPr>
        <w:tabs>
          <w:tab w:val="clear" w:pos="426"/>
        </w:tabs>
        <w:ind w:firstLine="1055"/>
        <w:jc w:val="center"/>
        <w:rPr>
          <w:sz w:val="52"/>
          <w:szCs w:val="52"/>
        </w:rPr>
      </w:pPr>
      <w:r>
        <w:rPr>
          <w:rFonts w:hint="eastAsia"/>
          <w:sz w:val="52"/>
          <w:szCs w:val="52"/>
        </w:rPr>
        <w:t>投标文件</w:t>
      </w:r>
    </w:p>
    <w:p>
      <w:pPr>
        <w:tabs>
          <w:tab w:val="clear" w:pos="426"/>
        </w:tabs>
        <w:jc w:val="center"/>
      </w:pPr>
    </w:p>
    <w:p>
      <w:pPr>
        <w:tabs>
          <w:tab w:val="clear" w:pos="426"/>
        </w:tabs>
        <w:jc w:val="center"/>
      </w:pPr>
    </w:p>
    <w:p>
      <w:pPr>
        <w:tabs>
          <w:tab w:val="clear" w:pos="426"/>
        </w:tabs>
      </w:pPr>
    </w:p>
    <w:p>
      <w:pPr>
        <w:tabs>
          <w:tab w:val="clear" w:pos="426"/>
        </w:tabs>
      </w:pPr>
    </w:p>
    <w:p>
      <w:pPr>
        <w:tabs>
          <w:tab w:val="clear" w:pos="426"/>
        </w:tabs>
      </w:pPr>
    </w:p>
    <w:p>
      <w:pPr>
        <w:tabs>
          <w:tab w:val="clear" w:pos="426"/>
        </w:tabs>
      </w:pPr>
    </w:p>
    <w:p>
      <w:pPr>
        <w:tabs>
          <w:tab w:val="clear" w:pos="426"/>
        </w:tabs>
        <w:ind w:left="1275" w:leftChars="607" w:firstLine="568"/>
        <w:rPr>
          <w:sz w:val="28"/>
          <w:szCs w:val="28"/>
        </w:rPr>
      </w:pPr>
      <w:r>
        <w:rPr>
          <w:rFonts w:hint="eastAsia"/>
          <w:sz w:val="28"/>
          <w:szCs w:val="28"/>
        </w:rPr>
        <w:t>项目编号：</w:t>
      </w:r>
    </w:p>
    <w:p>
      <w:pPr>
        <w:tabs>
          <w:tab w:val="clear" w:pos="426"/>
        </w:tabs>
        <w:ind w:left="1275" w:leftChars="607" w:firstLine="568"/>
        <w:rPr>
          <w:sz w:val="28"/>
          <w:szCs w:val="28"/>
        </w:rPr>
      </w:pPr>
      <w:r>
        <w:rPr>
          <w:rFonts w:hint="eastAsia"/>
          <w:sz w:val="28"/>
          <w:szCs w:val="28"/>
        </w:rPr>
        <w:t>投标供应商名称（公章</w:t>
      </w:r>
      <w:r>
        <w:rPr>
          <w:sz w:val="28"/>
          <w:szCs w:val="28"/>
        </w:rPr>
        <w:t>)</w:t>
      </w:r>
      <w:r>
        <w:rPr>
          <w:rFonts w:hint="eastAsia"/>
          <w:sz w:val="28"/>
          <w:szCs w:val="28"/>
        </w:rPr>
        <w:t>：</w:t>
      </w:r>
    </w:p>
    <w:p>
      <w:pPr>
        <w:tabs>
          <w:tab w:val="clear" w:pos="426"/>
        </w:tabs>
        <w:ind w:left="1275" w:leftChars="607" w:firstLine="568"/>
        <w:rPr>
          <w:sz w:val="28"/>
          <w:szCs w:val="28"/>
        </w:rPr>
      </w:pPr>
      <w:r>
        <w:rPr>
          <w:rFonts w:hint="eastAsia"/>
          <w:sz w:val="28"/>
          <w:szCs w:val="28"/>
        </w:rPr>
        <w:t>投标供应商代表（签名）：</w:t>
      </w:r>
    </w:p>
    <w:p>
      <w:pPr>
        <w:tabs>
          <w:tab w:val="clear" w:pos="426"/>
        </w:tabs>
        <w:ind w:left="1275" w:leftChars="607" w:firstLine="568"/>
        <w:rPr>
          <w:sz w:val="28"/>
          <w:szCs w:val="28"/>
        </w:rPr>
      </w:pPr>
      <w:r>
        <w:rPr>
          <w:rFonts w:hint="eastAsia"/>
          <w:sz w:val="28"/>
          <w:szCs w:val="28"/>
        </w:rPr>
        <w:t>投标日期：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p>
    <w:p>
      <w:pPr>
        <w:tabs>
          <w:tab w:val="clear" w:pos="426"/>
        </w:tabs>
      </w:pPr>
    </w:p>
    <w:p>
      <w:pPr>
        <w:adjustRightInd/>
        <w:snapToGrid/>
        <w:spacing w:before="280" w:after="290" w:line="376" w:lineRule="auto"/>
        <w:jc w:val="center"/>
        <w:rPr>
          <w:b/>
          <w:sz w:val="24"/>
        </w:rPr>
      </w:pPr>
      <w:r>
        <w:br w:type="page"/>
      </w:r>
      <w:bookmarkStart w:id="81" w:name="_Toc518464368"/>
      <w:bookmarkStart w:id="82" w:name="_Toc528675180"/>
      <w:bookmarkStart w:id="83" w:name="_Toc528170808"/>
      <w:r>
        <w:rPr>
          <w:rFonts w:hint="eastAsia"/>
          <w:b/>
          <w:sz w:val="24"/>
        </w:rPr>
        <w:t>投标文件目录（目录格式自定）</w:t>
      </w:r>
      <w:bookmarkEnd w:id="81"/>
      <w:bookmarkEnd w:id="82"/>
      <w:bookmarkEnd w:id="83"/>
    </w:p>
    <w:p>
      <w:pPr>
        <w:tabs>
          <w:tab w:val="clear" w:pos="426"/>
        </w:tabs>
      </w:pPr>
      <w:r>
        <w:rPr>
          <w:rFonts w:hint="eastAsia"/>
        </w:rPr>
        <w:t>按照招标文件的要求编制投标文件相应内容，请标明各部分内容的页码。</w:t>
      </w:r>
    </w:p>
    <w:p>
      <w:pPr>
        <w:tabs>
          <w:tab w:val="clear" w:pos="426"/>
        </w:tabs>
      </w:pPr>
    </w:p>
    <w:p>
      <w:pPr>
        <w:tabs>
          <w:tab w:val="clear" w:pos="426"/>
        </w:tabs>
      </w:pPr>
    </w:p>
    <w:p>
      <w:pPr>
        <w:adjustRightInd/>
        <w:snapToGrid/>
        <w:spacing w:before="280" w:after="290" w:line="376" w:lineRule="auto"/>
        <w:jc w:val="center"/>
        <w:rPr>
          <w:b/>
          <w:sz w:val="24"/>
        </w:rPr>
      </w:pPr>
      <w:r>
        <w:br w:type="page"/>
      </w:r>
      <w:bookmarkStart w:id="84" w:name="_Toc518464369"/>
      <w:bookmarkStart w:id="85" w:name="_Toc528675181"/>
      <w:bookmarkStart w:id="86" w:name="_Toc528170809"/>
      <w:r>
        <w:rPr>
          <w:rFonts w:hint="eastAsia"/>
          <w:b/>
          <w:sz w:val="24"/>
        </w:rPr>
        <w:t>评标指引表</w:t>
      </w:r>
      <w:bookmarkEnd w:id="84"/>
      <w:bookmarkEnd w:id="85"/>
      <w:bookmarkEnd w:id="86"/>
    </w:p>
    <w:p>
      <w:pPr>
        <w:tabs>
          <w:tab w:val="clear" w:pos="426"/>
        </w:tabs>
        <w:jc w:val="center"/>
        <w:rPr>
          <w:b/>
        </w:rPr>
      </w:pPr>
      <w:r>
        <w:rPr>
          <w:rFonts w:hint="eastAsia"/>
          <w:b/>
        </w:rPr>
        <w:t>（置于投标文件的首页）</w:t>
      </w:r>
    </w:p>
    <w:p>
      <w:pPr>
        <w:tabs>
          <w:tab w:val="clear" w:pos="426"/>
        </w:tabs>
        <w:ind w:firstLine="420" w:firstLineChars="200"/>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426"/>
      </w:pPr>
      <w:r>
        <w:rPr>
          <w:rFonts w:hint="eastAsia"/>
        </w:rPr>
        <w:t>项目名称：</w:t>
      </w:r>
    </w:p>
    <w:p>
      <w:pPr>
        <w:pStyle w:val="7"/>
        <w:tabs>
          <w:tab w:val="clear" w:pos="426"/>
        </w:tabs>
        <w:ind w:firstLine="426"/>
      </w:pPr>
      <w:r>
        <w:rPr>
          <w:rFonts w:hint="eastAsia"/>
        </w:rPr>
        <w:t>项目编号：</w:t>
      </w:r>
    </w:p>
    <w:p>
      <w:pPr>
        <w:tabs>
          <w:tab w:val="clear" w:pos="426"/>
        </w:tabs>
        <w:jc w:val="center"/>
        <w:rPr>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4203" w:type="dxa"/>
            <w:gridSpan w:val="2"/>
            <w:vAlign w:val="center"/>
          </w:tcPr>
          <w:p>
            <w:pPr>
              <w:tabs>
                <w:tab w:val="clear" w:pos="426"/>
              </w:tabs>
              <w:adjustRightInd/>
              <w:snapToGrid/>
              <w:spacing w:line="240" w:lineRule="auto"/>
              <w:ind w:firstLine="426"/>
              <w:jc w:val="center"/>
              <w:rPr>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b/>
              </w:rPr>
            </w:pPr>
            <w:r>
              <w:rPr>
                <w:rFonts w:hint="eastAsia"/>
                <w:b/>
              </w:rPr>
              <w:t>证明文件</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rPr>
            </w:pPr>
            <w:r>
              <w:rPr>
                <w:b/>
              </w:rPr>
              <w:t>1</w:t>
            </w:r>
          </w:p>
        </w:tc>
        <w:tc>
          <w:tcPr>
            <w:tcW w:w="4203" w:type="dxa"/>
            <w:gridSpan w:val="2"/>
            <w:vMerge w:val="restart"/>
            <w:vAlign w:val="center"/>
          </w:tcPr>
          <w:p>
            <w:pPr>
              <w:tabs>
                <w:tab w:val="clear" w:pos="426"/>
              </w:tabs>
              <w:adjustRightInd/>
              <w:snapToGrid/>
              <w:spacing w:line="240" w:lineRule="auto"/>
              <w:jc w:val="center"/>
              <w:rPr>
                <w:b/>
                <w:kern w:val="2"/>
              </w:rPr>
            </w:pPr>
            <w:r>
              <w:rPr>
                <w:rFonts w:hint="eastAsia"/>
              </w:rPr>
              <w:t>投标供应商资质要求</w:t>
            </w:r>
          </w:p>
        </w:tc>
        <w:tc>
          <w:tcPr>
            <w:tcW w:w="3105" w:type="dxa"/>
            <w:gridSpan w:val="3"/>
            <w:vAlign w:val="center"/>
          </w:tcPr>
          <w:p>
            <w:pPr>
              <w:tabs>
                <w:tab w:val="clear" w:pos="426"/>
              </w:tabs>
              <w:adjustRightInd/>
              <w:snapToGrid/>
              <w:spacing w:line="240" w:lineRule="auto"/>
              <w:jc w:val="center"/>
              <w:rPr>
                <w:kern w:val="2"/>
              </w:rPr>
            </w:pPr>
            <w:r>
              <w:rPr>
                <w:rFonts w:hint="eastAsia"/>
              </w:rPr>
              <w:t>营业执照</w:t>
            </w:r>
          </w:p>
        </w:tc>
        <w:tc>
          <w:tcPr>
            <w:tcW w:w="1397" w:type="dxa"/>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tc>
        <w:tc>
          <w:tcPr>
            <w:tcW w:w="4203" w:type="dxa"/>
            <w:gridSpan w:val="2"/>
            <w:vMerge w:val="continue"/>
            <w:vAlign w:val="center"/>
          </w:tcPr>
          <w:p/>
        </w:tc>
        <w:tc>
          <w:tcPr>
            <w:tcW w:w="3105" w:type="dxa"/>
            <w:gridSpan w:val="3"/>
            <w:vAlign w:val="center"/>
          </w:tcPr>
          <w:p>
            <w:pPr>
              <w:tabs>
                <w:tab w:val="clear" w:pos="426"/>
              </w:tabs>
              <w:adjustRightInd/>
              <w:snapToGrid/>
              <w:spacing w:line="240" w:lineRule="auto"/>
              <w:jc w:val="center"/>
            </w:pPr>
          </w:p>
        </w:tc>
        <w:tc>
          <w:tcPr>
            <w:tcW w:w="1397" w:type="dxa"/>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tc>
        <w:tc>
          <w:tcPr>
            <w:tcW w:w="4203" w:type="dxa"/>
            <w:gridSpan w:val="2"/>
            <w:vMerge w:val="continue"/>
            <w:vAlign w:val="center"/>
          </w:tcPr>
          <w:p/>
        </w:tc>
        <w:tc>
          <w:tcPr>
            <w:tcW w:w="3105" w:type="dxa"/>
            <w:gridSpan w:val="3"/>
            <w:vAlign w:val="center"/>
          </w:tcPr>
          <w:p>
            <w:pPr>
              <w:tabs>
                <w:tab w:val="clear" w:pos="426"/>
              </w:tabs>
              <w:adjustRightInd/>
              <w:snapToGrid/>
              <w:spacing w:line="240" w:lineRule="auto"/>
              <w:jc w:val="center"/>
            </w:pPr>
          </w:p>
        </w:tc>
        <w:tc>
          <w:tcPr>
            <w:tcW w:w="1397" w:type="dxa"/>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tc>
        <w:tc>
          <w:tcPr>
            <w:tcW w:w="4203" w:type="dxa"/>
            <w:gridSpan w:val="2"/>
            <w:vMerge w:val="continue"/>
            <w:vAlign w:val="center"/>
          </w:tcPr>
          <w:p/>
        </w:tc>
        <w:tc>
          <w:tcPr>
            <w:tcW w:w="3105" w:type="dxa"/>
            <w:gridSpan w:val="3"/>
            <w:vAlign w:val="center"/>
          </w:tcPr>
          <w:p>
            <w:pPr>
              <w:tabs>
                <w:tab w:val="clear" w:pos="426"/>
              </w:tabs>
              <w:adjustRightInd/>
              <w:snapToGrid/>
              <w:spacing w:line="240" w:lineRule="auto"/>
              <w:ind w:firstLine="424"/>
              <w:jc w:val="center"/>
              <w:rPr>
                <w:b/>
              </w:rPr>
            </w:pPr>
          </w:p>
        </w:tc>
        <w:tc>
          <w:tcPr>
            <w:tcW w:w="1397" w:type="dxa"/>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tc>
        <w:tc>
          <w:tcPr>
            <w:tcW w:w="4203" w:type="dxa"/>
            <w:gridSpan w:val="2"/>
            <w:vMerge w:val="continue"/>
            <w:vAlign w:val="center"/>
          </w:tcPr>
          <w:p/>
        </w:tc>
        <w:tc>
          <w:tcPr>
            <w:tcW w:w="3105" w:type="dxa"/>
            <w:gridSpan w:val="3"/>
            <w:vAlign w:val="center"/>
          </w:tcPr>
          <w:p>
            <w:pPr>
              <w:tabs>
                <w:tab w:val="clear" w:pos="426"/>
              </w:tabs>
              <w:adjustRightInd/>
              <w:snapToGrid/>
              <w:spacing w:line="240" w:lineRule="auto"/>
              <w:ind w:firstLine="424"/>
              <w:jc w:val="center"/>
              <w:rPr>
                <w:b/>
              </w:rPr>
            </w:pPr>
          </w:p>
        </w:tc>
        <w:tc>
          <w:tcPr>
            <w:tcW w:w="1397" w:type="dxa"/>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tc>
        <w:tc>
          <w:tcPr>
            <w:tcW w:w="4203" w:type="dxa"/>
            <w:gridSpan w:val="2"/>
            <w:vMerge w:val="continue"/>
            <w:vAlign w:val="center"/>
          </w:tcPr>
          <w:p/>
        </w:tc>
        <w:tc>
          <w:tcPr>
            <w:tcW w:w="3105" w:type="dxa"/>
            <w:gridSpan w:val="3"/>
            <w:vAlign w:val="center"/>
          </w:tcPr>
          <w:p>
            <w:pPr>
              <w:tabs>
                <w:tab w:val="clear" w:pos="426"/>
              </w:tabs>
              <w:adjustRightInd/>
              <w:snapToGrid/>
              <w:spacing w:line="240" w:lineRule="auto"/>
              <w:ind w:firstLine="424"/>
              <w:jc w:val="center"/>
              <w:rPr>
                <w:b/>
              </w:rPr>
            </w:pPr>
          </w:p>
        </w:tc>
        <w:tc>
          <w:tcPr>
            <w:tcW w:w="1397" w:type="dxa"/>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6"/>
              <w:jc w:val="center"/>
              <w:rPr>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1</w:t>
            </w:r>
          </w:p>
        </w:tc>
        <w:tc>
          <w:tcPr>
            <w:tcW w:w="5943" w:type="dxa"/>
            <w:gridSpan w:val="4"/>
            <w:vAlign w:val="center"/>
          </w:tcPr>
          <w:p>
            <w:pPr>
              <w:tabs>
                <w:tab w:val="clear" w:pos="426"/>
              </w:tabs>
              <w:adjustRightInd/>
              <w:snapToGrid/>
              <w:spacing w:line="240" w:lineRule="auto"/>
            </w:pPr>
            <w:r>
              <w:rPr>
                <w:rFonts w:hint="eastAsia"/>
              </w:rPr>
              <w:t>未出现将一个包或一个包的内容拆开投标；</w:t>
            </w:r>
          </w:p>
        </w:tc>
        <w:tc>
          <w:tcPr>
            <w:tcW w:w="2762" w:type="dxa"/>
            <w:gridSpan w:val="2"/>
            <w:vAlign w:val="center"/>
          </w:tcPr>
          <w:p>
            <w:pPr>
              <w:tabs>
                <w:tab w:val="clear" w:pos="426"/>
              </w:tabs>
              <w:adjustRightInd/>
              <w:snapToGrid/>
              <w:spacing w:line="240" w:lineRule="auto"/>
              <w:jc w:val="center"/>
              <w:rPr>
                <w:kern w:val="2"/>
              </w:rPr>
            </w:pPr>
            <w:r>
              <w:rPr>
                <w:rFonts w:hint="eastAsia"/>
              </w:rPr>
              <w:t>符合</w:t>
            </w:r>
            <w:r>
              <w:t>/</w:t>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2</w:t>
            </w:r>
          </w:p>
        </w:tc>
        <w:tc>
          <w:tcPr>
            <w:tcW w:w="5943" w:type="dxa"/>
            <w:gridSpan w:val="4"/>
            <w:vAlign w:val="center"/>
          </w:tcPr>
          <w:p>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3</w:t>
            </w:r>
          </w:p>
        </w:tc>
        <w:tc>
          <w:tcPr>
            <w:tcW w:w="5943" w:type="dxa"/>
            <w:gridSpan w:val="4"/>
            <w:vAlign w:val="center"/>
          </w:tcPr>
          <w:p>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4</w:t>
            </w:r>
          </w:p>
        </w:tc>
        <w:tc>
          <w:tcPr>
            <w:tcW w:w="5943" w:type="dxa"/>
            <w:gridSpan w:val="4"/>
            <w:vAlign w:val="center"/>
          </w:tcPr>
          <w:p>
            <w:pPr>
              <w:tabs>
                <w:tab w:val="clear" w:pos="426"/>
              </w:tabs>
              <w:adjustRightInd/>
              <w:snapToGrid/>
              <w:spacing w:line="240" w:lineRule="auto"/>
            </w:pPr>
            <w:r>
              <w:rPr>
                <w:rFonts w:hint="eastAsia"/>
              </w:rPr>
              <w:t>按招标文件所提供的样式填写《投标函》；按招标文件所提供的《政府采购投标及履约承诺函》进行承诺；</w:t>
            </w:r>
          </w:p>
        </w:tc>
        <w:tc>
          <w:tcPr>
            <w:tcW w:w="2762" w:type="dxa"/>
            <w:gridSpan w:val="2"/>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5</w:t>
            </w:r>
          </w:p>
        </w:tc>
        <w:tc>
          <w:tcPr>
            <w:tcW w:w="5943" w:type="dxa"/>
            <w:gridSpan w:val="4"/>
            <w:vAlign w:val="center"/>
          </w:tcPr>
          <w:p>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6</w:t>
            </w:r>
          </w:p>
        </w:tc>
        <w:tc>
          <w:tcPr>
            <w:tcW w:w="5943" w:type="dxa"/>
            <w:gridSpan w:val="4"/>
            <w:vAlign w:val="center"/>
          </w:tcPr>
          <w:p>
            <w:pPr>
              <w:tabs>
                <w:tab w:val="clear" w:pos="426"/>
              </w:tabs>
              <w:adjustRightInd/>
              <w:snapToGrid/>
              <w:spacing w:line="240" w:lineRule="auto"/>
            </w:pPr>
            <w:r>
              <w:rPr>
                <w:rFonts w:hint="eastAsia"/>
              </w:rPr>
              <w:t>投标报价满足商务需求中“3</w:t>
            </w:r>
            <w:r>
              <w:t>.</w:t>
            </w:r>
            <w:r>
              <w:rPr>
                <w:rFonts w:hint="eastAsia"/>
              </w:rPr>
              <w:t>报价要求”的；</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7</w:t>
            </w:r>
          </w:p>
        </w:tc>
        <w:tc>
          <w:tcPr>
            <w:tcW w:w="5943" w:type="dxa"/>
            <w:gridSpan w:val="4"/>
            <w:vAlign w:val="center"/>
          </w:tcPr>
          <w:p>
            <w:pPr>
              <w:tabs>
                <w:tab w:val="clear" w:pos="426"/>
              </w:tabs>
              <w:adjustRightInd/>
              <w:snapToGrid/>
              <w:spacing w:line="240" w:lineRule="auto"/>
            </w:pPr>
            <w:r>
              <w:rPr>
                <w:rFonts w:hint="eastAsia"/>
              </w:rPr>
              <w:t>不存在以下情形：</w:t>
            </w:r>
            <w:r>
              <w:rPr>
                <w:rFonts w:hint="eastAsia"/>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8</w:t>
            </w:r>
          </w:p>
        </w:tc>
        <w:tc>
          <w:tcPr>
            <w:tcW w:w="5943" w:type="dxa"/>
            <w:gridSpan w:val="4"/>
            <w:vAlign w:val="center"/>
          </w:tcPr>
          <w:p>
            <w:pPr>
              <w:tabs>
                <w:tab w:val="clear" w:pos="426"/>
              </w:tabs>
              <w:adjustRightInd/>
              <w:snapToGrid/>
              <w:spacing w:line="240" w:lineRule="auto"/>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9</w:t>
            </w:r>
          </w:p>
        </w:tc>
        <w:tc>
          <w:tcPr>
            <w:tcW w:w="5943" w:type="dxa"/>
            <w:gridSpan w:val="4"/>
            <w:vAlign w:val="center"/>
          </w:tcPr>
          <w:p>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10</w:t>
            </w:r>
          </w:p>
        </w:tc>
        <w:tc>
          <w:tcPr>
            <w:tcW w:w="5943" w:type="dxa"/>
            <w:gridSpan w:val="4"/>
            <w:vAlign w:val="center"/>
          </w:tcPr>
          <w:p>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2762" w:type="dxa"/>
            <w:gridSpan w:val="2"/>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11</w:t>
            </w:r>
          </w:p>
        </w:tc>
        <w:tc>
          <w:tcPr>
            <w:tcW w:w="5943" w:type="dxa"/>
            <w:gridSpan w:val="4"/>
            <w:vAlign w:val="center"/>
          </w:tcPr>
          <w:p>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12</w:t>
            </w:r>
          </w:p>
        </w:tc>
        <w:tc>
          <w:tcPr>
            <w:tcW w:w="5943" w:type="dxa"/>
            <w:gridSpan w:val="4"/>
            <w:vAlign w:val="center"/>
          </w:tcPr>
          <w:p>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6"/>
              <w:jc w:val="center"/>
              <w:rPr>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b/>
                <w:kern w:val="2"/>
              </w:rPr>
            </w:pPr>
            <w:r>
              <w:rPr>
                <w:rFonts w:hint="eastAsia"/>
                <w:b/>
              </w:rPr>
              <w:t>对应章节</w:t>
            </w:r>
          </w:p>
        </w:tc>
        <w:tc>
          <w:tcPr>
            <w:tcW w:w="1397" w:type="dxa"/>
            <w:vAlign w:val="center"/>
          </w:tcPr>
          <w:p>
            <w:pPr>
              <w:tabs>
                <w:tab w:val="clear" w:pos="426"/>
              </w:tabs>
              <w:adjustRightInd/>
              <w:snapToGrid/>
              <w:spacing w:line="240" w:lineRule="auto"/>
              <w:jc w:val="center"/>
              <w:rPr>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kern w:val="2"/>
              </w:rPr>
            </w:pPr>
            <w:r>
              <w:rPr>
                <w:rFonts w:hint="eastAsia"/>
                <w:b/>
              </w:rPr>
              <w:t>价格部分</w:t>
            </w:r>
          </w:p>
        </w:tc>
        <w:tc>
          <w:tcPr>
            <w:tcW w:w="5499" w:type="dxa"/>
            <w:gridSpan w:val="2"/>
            <w:vAlign w:val="center"/>
          </w:tcPr>
          <w:p>
            <w:pPr>
              <w:tabs>
                <w:tab w:val="clear" w:pos="426"/>
              </w:tabs>
              <w:adjustRightInd/>
              <w:snapToGrid/>
              <w:spacing w:line="240" w:lineRule="auto"/>
              <w:jc w:val="center"/>
            </w:pPr>
          </w:p>
        </w:tc>
        <w:tc>
          <w:tcPr>
            <w:tcW w:w="1463" w:type="dxa"/>
            <w:gridSpan w:val="2"/>
            <w:vAlign w:val="center"/>
          </w:tcPr>
          <w:p>
            <w:pPr>
              <w:tabs>
                <w:tab w:val="clear" w:pos="426"/>
              </w:tabs>
              <w:adjustRightInd/>
              <w:snapToGrid/>
              <w:spacing w:line="240" w:lineRule="auto"/>
              <w:ind w:firstLine="424"/>
              <w:jc w:val="center"/>
              <w:rPr>
                <w:b/>
              </w:rPr>
            </w:pPr>
          </w:p>
        </w:tc>
        <w:tc>
          <w:tcPr>
            <w:tcW w:w="1397" w:type="dxa"/>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tc>
        <w:tc>
          <w:tcPr>
            <w:tcW w:w="5499" w:type="dxa"/>
            <w:gridSpan w:val="2"/>
            <w:vAlign w:val="center"/>
          </w:tcPr>
          <w:p>
            <w:pPr>
              <w:tabs>
                <w:tab w:val="clear" w:pos="426"/>
              </w:tabs>
              <w:adjustRightInd/>
              <w:snapToGrid/>
              <w:spacing w:line="240" w:lineRule="auto"/>
              <w:ind w:firstLine="424"/>
              <w:jc w:val="center"/>
              <w:rPr>
                <w:b/>
              </w:rPr>
            </w:pPr>
          </w:p>
        </w:tc>
        <w:tc>
          <w:tcPr>
            <w:tcW w:w="1463" w:type="dxa"/>
            <w:gridSpan w:val="2"/>
            <w:vAlign w:val="center"/>
          </w:tcPr>
          <w:p>
            <w:pPr>
              <w:tabs>
                <w:tab w:val="clear" w:pos="426"/>
              </w:tabs>
              <w:adjustRightInd/>
              <w:snapToGrid/>
              <w:spacing w:line="240" w:lineRule="auto"/>
              <w:ind w:firstLine="424"/>
              <w:jc w:val="center"/>
              <w:rPr>
                <w:b/>
              </w:rPr>
            </w:pPr>
          </w:p>
        </w:tc>
        <w:tc>
          <w:tcPr>
            <w:tcW w:w="1397" w:type="dxa"/>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r>
              <w:rPr>
                <w:rFonts w:hint="eastAsia"/>
                <w:b/>
              </w:rPr>
              <w:t>技术部分</w:t>
            </w:r>
          </w:p>
        </w:tc>
        <w:tc>
          <w:tcPr>
            <w:tcW w:w="5499" w:type="dxa"/>
            <w:gridSpan w:val="2"/>
            <w:vAlign w:val="center"/>
          </w:tcPr>
          <w:p>
            <w:pPr>
              <w:tabs>
                <w:tab w:val="clear" w:pos="426"/>
              </w:tabs>
              <w:adjustRightInd/>
              <w:snapToGrid/>
              <w:spacing w:line="240" w:lineRule="auto"/>
              <w:ind w:firstLine="424"/>
              <w:jc w:val="center"/>
              <w:rPr>
                <w:b/>
              </w:rPr>
            </w:pPr>
          </w:p>
        </w:tc>
        <w:tc>
          <w:tcPr>
            <w:tcW w:w="1463" w:type="dxa"/>
            <w:gridSpan w:val="2"/>
            <w:vAlign w:val="center"/>
          </w:tcPr>
          <w:p>
            <w:pPr>
              <w:tabs>
                <w:tab w:val="clear" w:pos="426"/>
              </w:tabs>
              <w:adjustRightInd/>
              <w:snapToGrid/>
              <w:spacing w:line="240" w:lineRule="auto"/>
              <w:ind w:firstLine="424"/>
              <w:jc w:val="center"/>
              <w:rPr>
                <w:b/>
              </w:rPr>
            </w:pPr>
          </w:p>
        </w:tc>
        <w:tc>
          <w:tcPr>
            <w:tcW w:w="1397" w:type="dxa"/>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tc>
        <w:tc>
          <w:tcPr>
            <w:tcW w:w="5499" w:type="dxa"/>
            <w:gridSpan w:val="2"/>
            <w:vAlign w:val="center"/>
          </w:tcPr>
          <w:p>
            <w:pPr>
              <w:tabs>
                <w:tab w:val="clear" w:pos="426"/>
              </w:tabs>
              <w:adjustRightInd/>
              <w:snapToGrid/>
              <w:spacing w:line="240" w:lineRule="auto"/>
              <w:ind w:firstLine="424"/>
              <w:jc w:val="center"/>
              <w:rPr>
                <w:b/>
              </w:rPr>
            </w:pPr>
          </w:p>
        </w:tc>
        <w:tc>
          <w:tcPr>
            <w:tcW w:w="1463" w:type="dxa"/>
            <w:gridSpan w:val="2"/>
            <w:vAlign w:val="center"/>
          </w:tcPr>
          <w:p>
            <w:pPr>
              <w:tabs>
                <w:tab w:val="clear" w:pos="426"/>
              </w:tabs>
              <w:adjustRightInd/>
              <w:snapToGrid/>
              <w:spacing w:line="240" w:lineRule="auto"/>
              <w:ind w:firstLine="424"/>
              <w:jc w:val="center"/>
              <w:rPr>
                <w:b/>
              </w:rPr>
            </w:pPr>
          </w:p>
        </w:tc>
        <w:tc>
          <w:tcPr>
            <w:tcW w:w="1397" w:type="dxa"/>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kern w:val="2"/>
              </w:rPr>
            </w:pPr>
            <w:r>
              <w:rPr>
                <w:rFonts w:hint="eastAsia"/>
                <w:b/>
              </w:rPr>
              <w:t>商务部分</w:t>
            </w:r>
          </w:p>
        </w:tc>
        <w:tc>
          <w:tcPr>
            <w:tcW w:w="5499" w:type="dxa"/>
            <w:gridSpan w:val="2"/>
            <w:vAlign w:val="center"/>
          </w:tcPr>
          <w:p>
            <w:pPr>
              <w:tabs>
                <w:tab w:val="clear" w:pos="426"/>
              </w:tabs>
              <w:adjustRightInd/>
              <w:snapToGrid/>
              <w:spacing w:line="240" w:lineRule="auto"/>
              <w:ind w:firstLine="424"/>
              <w:jc w:val="center"/>
              <w:rPr>
                <w:b/>
              </w:rPr>
            </w:pPr>
          </w:p>
        </w:tc>
        <w:tc>
          <w:tcPr>
            <w:tcW w:w="1463" w:type="dxa"/>
            <w:gridSpan w:val="2"/>
            <w:vAlign w:val="center"/>
          </w:tcPr>
          <w:p>
            <w:pPr>
              <w:tabs>
                <w:tab w:val="clear" w:pos="426"/>
              </w:tabs>
              <w:adjustRightInd/>
              <w:snapToGrid/>
              <w:spacing w:line="240" w:lineRule="auto"/>
              <w:ind w:firstLine="424"/>
              <w:jc w:val="center"/>
              <w:rPr>
                <w:b/>
              </w:rPr>
            </w:pPr>
          </w:p>
        </w:tc>
        <w:tc>
          <w:tcPr>
            <w:tcW w:w="1397" w:type="dxa"/>
            <w:vAlign w:val="center"/>
          </w:tcPr>
          <w:p>
            <w:pPr>
              <w:tabs>
                <w:tab w:val="clear" w:pos="426"/>
              </w:tabs>
              <w:adjustRightInd/>
              <w:snapToGrid/>
              <w:spacing w:line="240" w:lineRule="auto"/>
              <w:ind w:firstLine="424"/>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tc>
        <w:tc>
          <w:tcPr>
            <w:tcW w:w="5499" w:type="dxa"/>
            <w:gridSpan w:val="2"/>
            <w:vAlign w:val="center"/>
          </w:tcPr>
          <w:p>
            <w:pPr>
              <w:tabs>
                <w:tab w:val="clear" w:pos="426"/>
              </w:tabs>
              <w:adjustRightInd/>
              <w:snapToGrid/>
              <w:spacing w:line="240" w:lineRule="auto"/>
              <w:ind w:firstLine="424"/>
              <w:jc w:val="center"/>
              <w:rPr>
                <w:b/>
              </w:rPr>
            </w:pPr>
          </w:p>
        </w:tc>
        <w:tc>
          <w:tcPr>
            <w:tcW w:w="1463" w:type="dxa"/>
            <w:gridSpan w:val="2"/>
            <w:vAlign w:val="center"/>
          </w:tcPr>
          <w:p>
            <w:pPr>
              <w:tabs>
                <w:tab w:val="clear" w:pos="426"/>
              </w:tabs>
              <w:adjustRightInd/>
              <w:snapToGrid/>
              <w:spacing w:line="240" w:lineRule="auto"/>
              <w:ind w:firstLine="424"/>
              <w:jc w:val="center"/>
              <w:rPr>
                <w:b/>
              </w:rPr>
            </w:pPr>
          </w:p>
        </w:tc>
        <w:tc>
          <w:tcPr>
            <w:tcW w:w="1397" w:type="dxa"/>
            <w:vAlign w:val="center"/>
          </w:tcPr>
          <w:p>
            <w:pPr>
              <w:tabs>
                <w:tab w:val="clear" w:pos="426"/>
              </w:tabs>
              <w:adjustRightInd/>
              <w:snapToGrid/>
              <w:spacing w:line="240" w:lineRule="auto"/>
              <w:ind w:firstLine="424"/>
              <w:jc w:val="center"/>
              <w:rPr>
                <w:b/>
              </w:rPr>
            </w:pPr>
          </w:p>
        </w:tc>
      </w:tr>
    </w:tbl>
    <w:p>
      <w:pPr>
        <w:tabs>
          <w:tab w:val="clear" w:pos="426"/>
        </w:tabs>
        <w:rPr>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ind w:firstLine="487"/>
        <w:outlineLvl w:val="2"/>
      </w:pPr>
      <w:bookmarkStart w:id="87" w:name="_Toc36829694"/>
      <w:bookmarkStart w:id="88" w:name="_Toc37168509"/>
      <w:r>
        <w:rPr>
          <w:b/>
          <w:sz w:val="24"/>
        </w:rPr>
        <w:br w:type="page"/>
      </w:r>
      <w:bookmarkEnd w:id="87"/>
      <w:bookmarkEnd w:id="88"/>
    </w:p>
    <w:p>
      <w:pPr>
        <w:pStyle w:val="5"/>
        <w:numPr>
          <w:ilvl w:val="0"/>
          <w:numId w:val="35"/>
        </w:numPr>
        <w:tabs>
          <w:tab w:val="left" w:pos="420"/>
          <w:tab w:val="clear" w:pos="426"/>
          <w:tab w:val="clear" w:pos="1680"/>
        </w:tabs>
        <w:ind w:firstLine="566"/>
        <w:jc w:val="left"/>
      </w:pPr>
      <w:bookmarkStart w:id="89" w:name="_Toc25308077"/>
      <w:bookmarkStart w:id="90" w:name="_Toc528170810"/>
      <w:bookmarkStart w:id="91" w:name="_Toc528675182"/>
      <w:bookmarkStart w:id="92" w:name="_Toc36822688"/>
      <w:bookmarkStart w:id="93" w:name="_Toc28864614"/>
      <w:bookmarkStart w:id="94" w:name="_Toc518464370"/>
      <w:r>
        <w:rPr>
          <w:rFonts w:hint="eastAsia"/>
        </w:rPr>
        <w:t>、投标函</w:t>
      </w:r>
      <w:bookmarkEnd w:id="89"/>
      <w:bookmarkEnd w:id="90"/>
      <w:bookmarkEnd w:id="91"/>
      <w:bookmarkEnd w:id="92"/>
      <w:bookmarkEnd w:id="93"/>
      <w:bookmarkEnd w:id="94"/>
    </w:p>
    <w:p>
      <w:pPr>
        <w:widowControl w:val="0"/>
        <w:shd w:val="clear" w:color="auto" w:fill="auto"/>
        <w:tabs>
          <w:tab w:val="clear" w:pos="426"/>
        </w:tabs>
        <w:adjustRightInd/>
        <w:snapToGrid/>
        <w:spacing w:line="300" w:lineRule="auto"/>
        <w:ind w:firstLine="649"/>
        <w:jc w:val="center"/>
        <w:rPr>
          <w:rFonts w:cs="Times New Roman"/>
          <w:bCs/>
          <w:kern w:val="2"/>
          <w:sz w:val="32"/>
          <w:szCs w:val="32"/>
        </w:rPr>
      </w:pPr>
      <w:bookmarkStart w:id="95" w:name="_Toc201742865"/>
      <w:bookmarkStart w:id="96" w:name="_Toc201743120"/>
      <w:bookmarkStart w:id="97" w:name="_Toc201719122"/>
      <w:bookmarkStart w:id="98" w:name="_Toc201997950"/>
      <w:r>
        <w:rPr>
          <w:rFonts w:hint="eastAsia" w:cs="Times New Roman"/>
          <w:bCs/>
          <w:kern w:val="2"/>
          <w:sz w:val="32"/>
          <w:szCs w:val="32"/>
        </w:rPr>
        <w:t>投标函</w:t>
      </w:r>
      <w:bookmarkEnd w:id="95"/>
      <w:bookmarkEnd w:id="96"/>
      <w:bookmarkEnd w:id="97"/>
      <w:bookmarkEnd w:id="98"/>
    </w:p>
    <w:p>
      <w:pPr>
        <w:tabs>
          <w:tab w:val="clear" w:pos="426"/>
        </w:tabs>
        <w:spacing w:line="300" w:lineRule="auto"/>
        <w:rPr>
          <w:szCs w:val="21"/>
        </w:rPr>
      </w:pPr>
    </w:p>
    <w:p>
      <w:pPr>
        <w:tabs>
          <w:tab w:val="clear" w:pos="426"/>
        </w:tabs>
        <w:spacing w:line="300" w:lineRule="auto"/>
        <w:rPr>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szCs w:val="21"/>
        </w:rPr>
      </w:pPr>
      <w:r>
        <w:rPr>
          <w:szCs w:val="21"/>
        </w:rPr>
        <w:t>1.</w:t>
      </w:r>
      <w:r>
        <w:rPr>
          <w:rFonts w:hint="eastAsia"/>
          <w:szCs w:val="21"/>
        </w:rPr>
        <w:t>根据已收到贵方的</w:t>
      </w:r>
      <w:r>
        <w:rPr>
          <w:szCs w:val="21"/>
          <w:u w:val="single"/>
        </w:rPr>
        <w:t>_______________</w:t>
      </w:r>
      <w:r>
        <w:rPr>
          <w:rFonts w:hint="eastAsia"/>
          <w:szCs w:val="21"/>
        </w:rPr>
        <w:t>项目编号为</w:t>
      </w:r>
      <w:r>
        <w:rPr>
          <w:szCs w:val="21"/>
          <w:u w:val="single"/>
        </w:rPr>
        <w:t>________</w:t>
      </w:r>
      <w:r>
        <w:rPr>
          <w:rFonts w:hint="eastAsia"/>
          <w:szCs w:val="21"/>
        </w:rPr>
        <w:t>的项目的招标文件，遵照《中华人民共和国政府采购法实施条例》等有关规定，我单位经研究上述招标文件的专用条款及通用条款后，我方愿以投标书中《开标一览表》中填写的投标报价并按招标文件要求承包上述项目并修补其任何缺陷。</w:t>
      </w:r>
    </w:p>
    <w:p>
      <w:pPr>
        <w:spacing w:after="231"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szCs w:val="21"/>
        </w:rPr>
      </w:pPr>
      <w:r>
        <w:rPr>
          <w:szCs w:val="21"/>
        </w:rPr>
        <w:t>3.</w:t>
      </w:r>
      <w:r>
        <w:rPr>
          <w:rFonts w:hint="eastAsia"/>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szCs w:val="21"/>
        </w:rPr>
      </w:pPr>
      <w:r>
        <w:rPr>
          <w:szCs w:val="21"/>
        </w:rPr>
        <w:t>4.</w:t>
      </w:r>
      <w:r>
        <w:rPr>
          <w:rFonts w:hint="eastAsia"/>
          <w:szCs w:val="21"/>
        </w:rPr>
        <w:t>除非另外达成协议并生效，贵方的中标通知书和本投标文件将构成约束我们双方的合同。</w:t>
      </w:r>
    </w:p>
    <w:p>
      <w:pPr>
        <w:spacing w:after="231" w:afterLines="50"/>
        <w:ind w:firstLine="420" w:firstLineChars="200"/>
        <w:rPr>
          <w:szCs w:val="21"/>
        </w:rPr>
      </w:pPr>
      <w:r>
        <w:rPr>
          <w:szCs w:val="21"/>
        </w:rPr>
        <w:t>5.</w:t>
      </w:r>
      <w:r>
        <w:rPr>
          <w:rFonts w:hint="eastAsia"/>
          <w:szCs w:val="21"/>
        </w:rPr>
        <w:t>我方理解贵方将不受必须接受你们所收到的最低标价或其它任何投标文件的约束。</w:t>
      </w:r>
    </w:p>
    <w:p>
      <w:pPr>
        <w:tabs>
          <w:tab w:val="clear" w:pos="426"/>
        </w:tabs>
        <w:spacing w:line="300" w:lineRule="auto"/>
        <w:ind w:firstLine="630" w:firstLineChars="300"/>
        <w:rPr>
          <w:szCs w:val="21"/>
        </w:rPr>
      </w:pPr>
      <w:r>
        <w:rPr>
          <w:rFonts w:hint="eastAsia"/>
          <w:szCs w:val="21"/>
        </w:rPr>
        <w:t>地址：</w:t>
      </w:r>
      <w:r>
        <w:rPr>
          <w:szCs w:val="21"/>
          <w:u w:val="single"/>
        </w:rPr>
        <w:t>______________________</w:t>
      </w:r>
      <w:r>
        <w:rPr>
          <w:rFonts w:hint="eastAsia"/>
          <w:szCs w:val="21"/>
        </w:rPr>
        <w:t>电话：</w:t>
      </w:r>
      <w:r>
        <w:rPr>
          <w:szCs w:val="21"/>
          <w:u w:val="single"/>
        </w:rPr>
        <w:t>______________________</w:t>
      </w:r>
    </w:p>
    <w:p>
      <w:pPr>
        <w:tabs>
          <w:tab w:val="clear" w:pos="426"/>
        </w:tabs>
        <w:spacing w:line="300" w:lineRule="auto"/>
        <w:ind w:firstLine="630" w:firstLineChars="300"/>
        <w:rPr>
          <w:szCs w:val="21"/>
          <w:u w:val="single"/>
        </w:rPr>
      </w:pPr>
      <w:r>
        <w:rPr>
          <w:rFonts w:hint="eastAsia"/>
          <w:szCs w:val="21"/>
        </w:rPr>
        <w:t>投标供应商名称（公章）：</w:t>
      </w:r>
      <w:r>
        <w:rPr>
          <w:szCs w:val="21"/>
          <w:u w:val="single"/>
        </w:rPr>
        <w:t>______________________</w:t>
      </w:r>
    </w:p>
    <w:p>
      <w:pPr>
        <w:tabs>
          <w:tab w:val="clear" w:pos="426"/>
        </w:tabs>
        <w:spacing w:line="300" w:lineRule="auto"/>
        <w:ind w:firstLine="630" w:firstLineChars="300"/>
        <w:rPr>
          <w:szCs w:val="21"/>
          <w:u w:val="single"/>
        </w:rPr>
      </w:pPr>
      <w:r>
        <w:rPr>
          <w:rFonts w:hint="eastAsia"/>
          <w:szCs w:val="21"/>
        </w:rPr>
        <w:t>投标供应商代表（签字</w:t>
      </w:r>
      <w:r>
        <w:rPr>
          <w:szCs w:val="21"/>
        </w:rPr>
        <w:t>)</w:t>
      </w:r>
      <w:r>
        <w:rPr>
          <w:rFonts w:hint="eastAsia"/>
          <w:szCs w:val="21"/>
        </w:rPr>
        <w:t>：</w:t>
      </w:r>
      <w:r>
        <w:rPr>
          <w:szCs w:val="21"/>
        </w:rPr>
        <w:t xml:space="preserve"> </w:t>
      </w:r>
      <w:r>
        <w:rPr>
          <w:szCs w:val="21"/>
          <w:u w:val="single"/>
        </w:rPr>
        <w:t>______________________</w:t>
      </w:r>
    </w:p>
    <w:p>
      <w:pPr>
        <w:tabs>
          <w:tab w:val="clear" w:pos="426"/>
        </w:tabs>
        <w:spacing w:line="300" w:lineRule="auto"/>
        <w:ind w:firstLine="630" w:firstLineChars="300"/>
        <w:rPr>
          <w:szCs w:val="21"/>
          <w:u w:val="single"/>
        </w:rPr>
      </w:pPr>
      <w:r>
        <w:rPr>
          <w:rFonts w:hint="eastAsia"/>
          <w:szCs w:val="21"/>
        </w:rPr>
        <w:t>日期：</w:t>
      </w:r>
      <w:r>
        <w:rPr>
          <w:szCs w:val="21"/>
          <w:u w:val="single"/>
        </w:rPr>
        <w:t>______________________</w:t>
      </w:r>
    </w:p>
    <w:p>
      <w:pPr>
        <w:tabs>
          <w:tab w:val="clear" w:pos="426"/>
        </w:tabs>
        <w:spacing w:line="300" w:lineRule="auto"/>
        <w:rPr>
          <w:szCs w:val="21"/>
        </w:rPr>
      </w:pPr>
    </w:p>
    <w:p>
      <w:pPr>
        <w:tabs>
          <w:tab w:val="clear" w:pos="426"/>
        </w:tabs>
        <w:spacing w:line="300" w:lineRule="auto"/>
        <w:rPr>
          <w:szCs w:val="21"/>
        </w:rPr>
      </w:pPr>
    </w:p>
    <w:p>
      <w:pPr>
        <w:tabs>
          <w:tab w:val="clear" w:pos="426"/>
        </w:tabs>
        <w:spacing w:line="300" w:lineRule="auto"/>
        <w:rPr>
          <w:szCs w:val="21"/>
        </w:rPr>
      </w:pPr>
    </w:p>
    <w:p>
      <w:pPr>
        <w:tabs>
          <w:tab w:val="clear" w:pos="426"/>
        </w:tabs>
        <w:spacing w:line="300" w:lineRule="auto"/>
        <w:rPr>
          <w:szCs w:val="21"/>
        </w:rPr>
      </w:pPr>
    </w:p>
    <w:p>
      <w:pPr>
        <w:shd w:val="clear" w:color="auto" w:fill="auto"/>
        <w:tabs>
          <w:tab w:val="clear" w:pos="426"/>
        </w:tabs>
        <w:adjustRightInd/>
        <w:snapToGrid/>
        <w:spacing w:line="240" w:lineRule="auto"/>
        <w:jc w:val="left"/>
        <w:rPr>
          <w:szCs w:val="21"/>
        </w:rPr>
      </w:pPr>
      <w:r>
        <w:rPr>
          <w:szCs w:val="21"/>
        </w:rPr>
        <w:br w:type="page"/>
      </w:r>
    </w:p>
    <w:p>
      <w:pPr>
        <w:pStyle w:val="5"/>
        <w:numPr>
          <w:ilvl w:val="0"/>
          <w:numId w:val="35"/>
        </w:numPr>
        <w:tabs>
          <w:tab w:val="left" w:pos="420"/>
          <w:tab w:val="clear" w:pos="426"/>
          <w:tab w:val="clear" w:pos="1680"/>
        </w:tabs>
        <w:ind w:firstLine="566"/>
        <w:jc w:val="left"/>
      </w:pPr>
      <w:bookmarkStart w:id="99" w:name="_Toc36822689"/>
      <w:r>
        <w:rPr>
          <w:rFonts w:hint="eastAsia"/>
        </w:rPr>
        <w:t>、政府采购投标及履约承诺函</w:t>
      </w:r>
      <w:bookmarkEnd w:id="99"/>
    </w:p>
    <w:p>
      <w:pPr>
        <w:widowControl w:val="0"/>
        <w:shd w:val="clear" w:color="auto" w:fill="auto"/>
        <w:tabs>
          <w:tab w:val="clear" w:pos="426"/>
        </w:tabs>
        <w:adjustRightInd/>
        <w:snapToGrid/>
        <w:spacing w:line="300" w:lineRule="auto"/>
        <w:ind w:firstLine="649"/>
        <w:jc w:val="center"/>
        <w:rPr>
          <w:rFonts w:cs="Times New Roman"/>
          <w:bCs/>
          <w:kern w:val="2"/>
          <w:sz w:val="32"/>
          <w:szCs w:val="32"/>
        </w:rPr>
      </w:pPr>
      <w:r>
        <w:rPr>
          <w:rFonts w:hint="eastAsia" w:cs="Times New Roman"/>
          <w:bCs/>
          <w:kern w:val="2"/>
          <w:sz w:val="32"/>
          <w:szCs w:val="32"/>
        </w:rPr>
        <w:t>政府采购投标及履约承诺函</w:t>
      </w:r>
    </w:p>
    <w:p>
      <w:pPr>
        <w:tabs>
          <w:tab w:val="clear" w:pos="426"/>
        </w:tabs>
      </w:pPr>
      <w:r>
        <w:rPr>
          <w:rFonts w:hint="eastAsia"/>
        </w:rPr>
        <w:t>深圳市深水水务咨询有限公司：</w:t>
      </w:r>
    </w:p>
    <w:p>
      <w:pPr>
        <w:tabs>
          <w:tab w:val="clear" w:pos="426"/>
        </w:tabs>
        <w:spacing w:line="240" w:lineRule="auto"/>
        <w:ind w:firstLine="424" w:firstLineChars="202"/>
      </w:pPr>
      <w:r>
        <w:rPr>
          <w:rFonts w:hint="eastAsia"/>
        </w:rPr>
        <w:t>我单位承诺：</w:t>
      </w:r>
    </w:p>
    <w:p>
      <w:pPr>
        <w:tabs>
          <w:tab w:val="clear" w:pos="426"/>
        </w:tabs>
        <w:spacing w:line="240" w:lineRule="auto"/>
        <w:ind w:firstLine="424" w:firstLineChars="202"/>
      </w:pPr>
      <w:r>
        <w:rPr>
          <w:rFonts w:hint="eastAsia"/>
        </w:rPr>
        <w:t>1.我单位参与本项目所投标（响应）的货物、工程或服务，不存在侵犯知识产权的情况；已知悉并同意中标（成交）结果信息公示（公开）的内容。</w:t>
      </w:r>
    </w:p>
    <w:p>
      <w:pPr>
        <w:tabs>
          <w:tab w:val="clear" w:pos="426"/>
        </w:tabs>
        <w:spacing w:line="240" w:lineRule="auto"/>
        <w:ind w:firstLine="424" w:firstLineChars="202"/>
      </w:pPr>
      <w:r>
        <w:rPr>
          <w:rFonts w:hint="eastAsia"/>
        </w:rPr>
        <w:t>2.我单位参与该项目投标，符合招标文件关于联合体及进口产品的相关资格要求。</w:t>
      </w:r>
    </w:p>
    <w:p>
      <w:pPr>
        <w:tabs>
          <w:tab w:val="clear" w:pos="426"/>
        </w:tabs>
        <w:spacing w:line="240" w:lineRule="auto"/>
        <w:ind w:firstLine="424" w:firstLineChars="202"/>
      </w:pPr>
      <w:r>
        <w:rPr>
          <w:rFonts w:hint="eastAsia"/>
        </w:rPr>
        <w:t>3.我单位参与本项目政府采购活动时不存在被有关部门禁止参与政府采购活动且在有效期内的情况。</w:t>
      </w:r>
    </w:p>
    <w:p>
      <w:pPr>
        <w:tabs>
          <w:tab w:val="clear" w:pos="426"/>
        </w:tabs>
        <w:spacing w:line="240" w:lineRule="auto"/>
        <w:ind w:firstLine="424" w:firstLineChars="202"/>
      </w:pPr>
      <w:r>
        <w:rPr>
          <w:rFonts w:hint="eastAsia"/>
        </w:rPr>
        <w:t>4</w:t>
      </w:r>
      <w:r>
        <w:t>.</w:t>
      </w:r>
      <w:r>
        <w:rPr>
          <w:rFonts w:hint="eastAsia"/>
        </w:rPr>
        <w:t>我单位参与本项目投标前三年内，在经营活动中没有重大违法记录。</w:t>
      </w:r>
    </w:p>
    <w:p>
      <w:pPr>
        <w:tabs>
          <w:tab w:val="clear" w:pos="426"/>
        </w:tabs>
        <w:spacing w:line="240" w:lineRule="auto"/>
        <w:ind w:firstLine="424" w:firstLineChars="202"/>
      </w:pPr>
      <w:r>
        <w:t>5</w:t>
      </w:r>
      <w:r>
        <w:rPr>
          <w:rFonts w:hint="eastAsia"/>
        </w:rPr>
        <w:t>.我单位具备《中华人民共和国政府采购法》第二十二条的条件。</w:t>
      </w:r>
    </w:p>
    <w:p>
      <w:pPr>
        <w:tabs>
          <w:tab w:val="clear" w:pos="426"/>
        </w:tabs>
        <w:spacing w:line="240" w:lineRule="auto"/>
        <w:ind w:firstLine="424" w:firstLineChars="202"/>
      </w:pPr>
      <w:r>
        <w:t>6</w:t>
      </w:r>
      <w:r>
        <w:rPr>
          <w:rFonts w:hint="eastAsia"/>
        </w:rPr>
        <w:t>.我单位未被列入失信被执行人、重大税收违法失信主体、政府采购严重违法失信行为记录名单</w:t>
      </w:r>
    </w:p>
    <w:p>
      <w:pPr>
        <w:tabs>
          <w:tab w:val="clear" w:pos="426"/>
        </w:tabs>
        <w:spacing w:line="240" w:lineRule="auto"/>
        <w:ind w:firstLine="424" w:firstLineChars="202"/>
      </w:pPr>
      <w:r>
        <w:t>7</w:t>
      </w:r>
      <w:r>
        <w:rPr>
          <w:rFonts w:hint="eastAsia"/>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tabs>
          <w:tab w:val="clear" w:pos="426"/>
        </w:tabs>
        <w:spacing w:line="240" w:lineRule="auto"/>
        <w:ind w:firstLine="424" w:firstLineChars="202"/>
      </w:pPr>
      <w:r>
        <w:t>8</w:t>
      </w:r>
      <w:r>
        <w:rPr>
          <w:rFonts w:hint="eastAsia"/>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tabs>
          <w:tab w:val="clear" w:pos="426"/>
        </w:tabs>
        <w:spacing w:line="240" w:lineRule="auto"/>
        <w:ind w:firstLine="424" w:firstLineChars="202"/>
      </w:pPr>
      <w:r>
        <w:rPr>
          <w:rFonts w:hint="eastAsia"/>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tabs>
          <w:tab w:val="clear" w:pos="426"/>
        </w:tabs>
        <w:spacing w:line="240" w:lineRule="auto"/>
        <w:ind w:firstLine="424" w:firstLineChars="202"/>
      </w:pPr>
      <w:r>
        <w:t>9</w:t>
      </w:r>
      <w:r>
        <w:rPr>
          <w:rFonts w:hint="eastAsia"/>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tabs>
          <w:tab w:val="clear" w:pos="426"/>
        </w:tabs>
        <w:spacing w:line="240" w:lineRule="auto"/>
        <w:ind w:firstLine="424" w:firstLineChars="202"/>
      </w:pPr>
      <w:r>
        <w:t>10</w:t>
      </w:r>
      <w:r>
        <w:rPr>
          <w:rFonts w:hint="eastAsia"/>
        </w:rPr>
        <w:t>.我单位承诺中标后项目不转包，未经采购人同意不进行分包。</w:t>
      </w:r>
    </w:p>
    <w:p>
      <w:pPr>
        <w:tabs>
          <w:tab w:val="clear" w:pos="426"/>
        </w:tabs>
        <w:spacing w:line="240" w:lineRule="auto"/>
        <w:ind w:firstLine="424" w:firstLineChars="202"/>
      </w:pPr>
      <w:r>
        <w:rPr>
          <w:rFonts w:hint="eastAsia"/>
        </w:rPr>
        <w:t>1</w:t>
      </w:r>
      <w:r>
        <w:t>1</w:t>
      </w:r>
      <w:r>
        <w:rPr>
          <w:rFonts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tabs>
          <w:tab w:val="clear" w:pos="426"/>
        </w:tabs>
        <w:spacing w:line="240" w:lineRule="auto"/>
        <w:ind w:firstLine="424" w:firstLineChars="202"/>
      </w:pPr>
      <w:r>
        <w:rPr>
          <w:rFonts w:hint="eastAsia"/>
        </w:rPr>
        <w:t>1</w:t>
      </w:r>
      <w:r>
        <w:t>2</w:t>
      </w:r>
      <w:r>
        <w:rPr>
          <w:rFonts w:hint="eastAsia"/>
        </w:rPr>
        <w:t>.我单位保证，若所投货物涉及《财政部生态环境部关于印发节能产品政府采购品目清单的通知》（财库〔2019〕19号）列明的政府采购强制产品，则所投该产品符合节能产品的认证要求。</w:t>
      </w:r>
    </w:p>
    <w:p>
      <w:pPr>
        <w:tabs>
          <w:tab w:val="clear" w:pos="426"/>
        </w:tabs>
        <w:spacing w:line="240" w:lineRule="auto"/>
        <w:ind w:firstLine="424" w:firstLineChars="202"/>
      </w:pPr>
      <w:r>
        <w:rPr>
          <w:rFonts w:hint="eastAsia"/>
        </w:rPr>
        <w:t>1</w:t>
      </w:r>
      <w:r>
        <w:t>3</w:t>
      </w:r>
      <w:r>
        <w:rPr>
          <w:rFonts w:hint="eastAsia"/>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tabs>
          <w:tab w:val="clear" w:pos="426"/>
        </w:tabs>
        <w:spacing w:line="240" w:lineRule="auto"/>
        <w:ind w:firstLine="424" w:firstLineChars="202"/>
      </w:pPr>
      <w:r>
        <w:rPr>
          <w:rFonts w:hint="eastAsia"/>
        </w:rPr>
        <w:t>1</w:t>
      </w:r>
      <w:r>
        <w:t>4</w:t>
      </w:r>
      <w:r>
        <w:rPr>
          <w:rFonts w:hint="eastAsia"/>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tabs>
          <w:tab w:val="clear" w:pos="426"/>
        </w:tabs>
        <w:spacing w:line="240" w:lineRule="auto"/>
        <w:ind w:firstLine="424" w:firstLineChars="202"/>
      </w:pPr>
      <w:r>
        <w:rPr>
          <w:rFonts w:hint="eastAsia"/>
        </w:rPr>
        <w:t>1</w:t>
      </w:r>
      <w:r>
        <w:t>5.</w:t>
      </w:r>
      <w:r>
        <w:rPr>
          <w:rFonts w:hint="eastAsia"/>
        </w:rPr>
        <w:t>我单位不联合体投标，不分包、转包。</w:t>
      </w:r>
    </w:p>
    <w:p>
      <w:pPr>
        <w:tabs>
          <w:tab w:val="clear" w:pos="426"/>
        </w:tabs>
        <w:spacing w:line="240" w:lineRule="auto"/>
        <w:ind w:firstLine="424" w:firstLineChars="202"/>
      </w:pPr>
      <w:r>
        <w:rPr>
          <w:rFonts w:hint="eastAsia"/>
        </w:rPr>
        <w:t>以上承诺，如有违反，愿依照国家相关法律处理，并承担由此给采购人带来的损失。</w:t>
      </w:r>
    </w:p>
    <w:p>
      <w:pPr>
        <w:tabs>
          <w:tab w:val="clear" w:pos="426"/>
        </w:tabs>
        <w:spacing w:line="240" w:lineRule="auto"/>
        <w:ind w:firstLine="426"/>
      </w:pPr>
      <w:r>
        <w:rPr>
          <w:rFonts w:hint="eastAsia"/>
        </w:rPr>
        <w:t>特此声明！</w:t>
      </w:r>
    </w:p>
    <w:p>
      <w:pPr>
        <w:tabs>
          <w:tab w:val="clear" w:pos="426"/>
        </w:tabs>
        <w:ind w:firstLine="426"/>
        <w:rPr>
          <w:u w:val="single"/>
        </w:rPr>
      </w:pPr>
      <w:r>
        <w:rPr>
          <w:rFonts w:hint="eastAsia"/>
        </w:rPr>
        <w:t>单位名称：</w:t>
      </w:r>
      <w:r>
        <w:rPr>
          <w:szCs w:val="21"/>
          <w:u w:val="single"/>
        </w:rPr>
        <w:t>______________________</w:t>
      </w:r>
    </w:p>
    <w:p>
      <w:pPr>
        <w:tabs>
          <w:tab w:val="clear" w:pos="426"/>
        </w:tabs>
        <w:ind w:firstLine="426"/>
        <w:rPr>
          <w:u w:val="single"/>
        </w:rPr>
      </w:pPr>
      <w:r>
        <w:rPr>
          <w:rFonts w:hint="eastAsia"/>
        </w:rPr>
        <w:t>法定代表人或投标供应商授权代表（签名或盖章）：</w:t>
      </w:r>
      <w:r>
        <w:rPr>
          <w:szCs w:val="21"/>
          <w:u w:val="single"/>
        </w:rPr>
        <w:t>______________________</w:t>
      </w:r>
    </w:p>
    <w:p>
      <w:pPr>
        <w:tabs>
          <w:tab w:val="clear" w:pos="426"/>
        </w:tabs>
        <w:ind w:firstLine="426"/>
        <w:rPr>
          <w:u w:val="single"/>
        </w:rPr>
      </w:pPr>
      <w:r>
        <w:rPr>
          <w:rFonts w:hint="eastAsia"/>
        </w:rPr>
        <w:t>单位地址：</w:t>
      </w:r>
      <w:r>
        <w:rPr>
          <w:szCs w:val="21"/>
          <w:u w:val="single"/>
        </w:rPr>
        <w:t>______________________</w:t>
      </w:r>
    </w:p>
    <w:p>
      <w:pPr>
        <w:tabs>
          <w:tab w:val="clear" w:pos="426"/>
        </w:tabs>
        <w:ind w:firstLine="426"/>
        <w:rPr>
          <w:u w:val="single"/>
        </w:rPr>
      </w:pPr>
      <w:r>
        <w:rPr>
          <w:rFonts w:hint="eastAsia"/>
        </w:rPr>
        <w:t>单位公章：</w:t>
      </w:r>
      <w:r>
        <w:rPr>
          <w:szCs w:val="21"/>
          <w:u w:val="single"/>
        </w:rPr>
        <w:t>______________________</w:t>
      </w:r>
    </w:p>
    <w:p>
      <w:pPr>
        <w:tabs>
          <w:tab w:val="clear" w:pos="426"/>
        </w:tabs>
        <w:ind w:firstLine="426"/>
        <w:rPr>
          <w:u w:val="single"/>
        </w:rPr>
      </w:pPr>
      <w:r>
        <w:rPr>
          <w:rFonts w:hint="eastAsia"/>
        </w:rPr>
        <w:t>邮政编码：</w:t>
      </w:r>
      <w:r>
        <w:rPr>
          <w:szCs w:val="21"/>
          <w:u w:val="single"/>
        </w:rPr>
        <w:t>______________________</w:t>
      </w:r>
      <w:r>
        <w:rPr>
          <w:rFonts w:hint="eastAsia"/>
        </w:rPr>
        <w:t>日期：</w:t>
      </w:r>
      <w:r>
        <w:rPr>
          <w:szCs w:val="21"/>
          <w:u w:val="single"/>
        </w:rPr>
        <w:t>______________________</w:t>
      </w:r>
    </w:p>
    <w:p>
      <w:pPr>
        <w:tabs>
          <w:tab w:val="clear" w:pos="426"/>
        </w:tabs>
        <w:ind w:firstLine="420" w:firstLineChars="200"/>
        <w:rPr>
          <w:rFonts w:hAnsi="Calibri"/>
          <w:sz w:val="22"/>
          <w:szCs w:val="21"/>
        </w:rPr>
      </w:pPr>
      <w:r>
        <w:rPr>
          <w:rFonts w:hint="eastAsia"/>
        </w:rPr>
        <w:t>联系电话：</w:t>
      </w:r>
      <w:r>
        <w:rPr>
          <w:szCs w:val="21"/>
          <w:u w:val="single"/>
        </w:rPr>
        <w:t>______________________</w:t>
      </w:r>
      <w:bookmarkStart w:id="100" w:name="_Toc36822690"/>
      <w:r>
        <w:rPr>
          <w:rFonts w:hAnsi="Calibri"/>
          <w:sz w:val="22"/>
          <w:szCs w:val="21"/>
        </w:rPr>
        <w:t xml:space="preserve"> </w:t>
      </w:r>
    </w:p>
    <w:p>
      <w:pPr>
        <w:shd w:val="clear" w:color="auto" w:fill="auto"/>
        <w:tabs>
          <w:tab w:val="clear" w:pos="426"/>
        </w:tabs>
        <w:adjustRightInd/>
        <w:snapToGrid/>
        <w:spacing w:line="240" w:lineRule="auto"/>
        <w:ind w:firstLine="446"/>
        <w:jc w:val="left"/>
        <w:rPr>
          <w:rFonts w:hAnsi="Calibri"/>
          <w:sz w:val="22"/>
          <w:szCs w:val="21"/>
        </w:rPr>
      </w:pPr>
      <w:r>
        <w:rPr>
          <w:rFonts w:hAnsi="Calibri"/>
          <w:sz w:val="22"/>
          <w:szCs w:val="21"/>
        </w:rPr>
        <w:br w:type="page"/>
      </w:r>
    </w:p>
    <w:p>
      <w:pPr>
        <w:pStyle w:val="5"/>
        <w:numPr>
          <w:ilvl w:val="0"/>
          <w:numId w:val="35"/>
        </w:numPr>
        <w:tabs>
          <w:tab w:val="clear" w:pos="1680"/>
        </w:tabs>
        <w:ind w:firstLine="566"/>
        <w:jc w:val="left"/>
      </w:pPr>
      <w:r>
        <w:rPr>
          <w:rFonts w:hint="eastAsia"/>
        </w:rPr>
        <w:t>、法定代表人授权委托书、法定代表人证明书</w:t>
      </w:r>
      <w:bookmarkEnd w:id="100"/>
    </w:p>
    <w:p>
      <w:pPr>
        <w:widowControl w:val="0"/>
        <w:shd w:val="clear" w:color="auto" w:fill="auto"/>
        <w:tabs>
          <w:tab w:val="clear" w:pos="426"/>
        </w:tabs>
        <w:adjustRightInd/>
        <w:snapToGrid/>
        <w:spacing w:line="300" w:lineRule="auto"/>
        <w:ind w:firstLine="649"/>
        <w:jc w:val="center"/>
        <w:rPr>
          <w:rFonts w:cs="Times New Roman"/>
          <w:bCs/>
          <w:kern w:val="2"/>
          <w:sz w:val="32"/>
          <w:szCs w:val="32"/>
        </w:rPr>
      </w:pPr>
      <w:r>
        <w:rPr>
          <w:rFonts w:hint="eastAsia" w:cs="Times New Roman"/>
          <w:bCs/>
          <w:kern w:val="2"/>
          <w:sz w:val="32"/>
          <w:szCs w:val="32"/>
        </w:rPr>
        <w:t>法定代表人授权委托书</w:t>
      </w:r>
    </w:p>
    <w:p>
      <w:pPr>
        <w:pStyle w:val="43"/>
        <w:tabs>
          <w:tab w:val="clear" w:pos="426"/>
        </w:tabs>
        <w:ind w:firstLine="420" w:firstLineChars="200"/>
      </w:pPr>
    </w:p>
    <w:p>
      <w:pPr>
        <w:pStyle w:val="43"/>
        <w:tabs>
          <w:tab w:val="clear" w:pos="426"/>
        </w:tabs>
        <w:ind w:firstLine="420" w:firstLineChars="200"/>
      </w:pPr>
      <w:r>
        <w:rPr>
          <w:rFonts w:hint="eastAsia"/>
        </w:rPr>
        <w:t>本授权委托书声明：注册于</w:t>
      </w:r>
      <w:r>
        <w:rPr>
          <w:u w:val="single"/>
        </w:rPr>
        <w:t>_</w:t>
      </w:r>
      <w:r>
        <w:rPr>
          <w:rFonts w:hint="eastAsia"/>
          <w:u w:val="single"/>
        </w:rPr>
        <w:t>（投标供应商地址）</w:t>
      </w:r>
      <w:r>
        <w:rPr>
          <w:u w:val="single"/>
        </w:rPr>
        <w:t>__</w:t>
      </w:r>
      <w:r>
        <w:rPr>
          <w:rFonts w:hint="eastAsia"/>
        </w:rPr>
        <w:t>的</w:t>
      </w:r>
      <w:r>
        <w:rPr>
          <w:u w:val="single"/>
        </w:rPr>
        <w:t>__</w:t>
      </w:r>
      <w:r>
        <w:rPr>
          <w:rFonts w:hint="eastAsia"/>
          <w:u w:val="single"/>
        </w:rPr>
        <w:t>（投标供应商名称）</w:t>
      </w:r>
      <w:r>
        <w:rPr>
          <w:u w:val="single"/>
        </w:rPr>
        <w:t>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）的招投标活动，采购合同的签订、执行、完成和售后服务，作为投标供应商代表以我方的名义处理一切与之有关的事务。</w:t>
      </w:r>
    </w:p>
    <w:p>
      <w:pPr>
        <w:pStyle w:val="43"/>
        <w:tabs>
          <w:tab w:val="clear" w:pos="426"/>
        </w:tabs>
        <w:ind w:firstLine="420" w:firstLineChars="200"/>
      </w:pPr>
      <w:r>
        <w:rPr>
          <w:rFonts w:hint="eastAsia"/>
        </w:rPr>
        <w:t>被授权人（投标供应商授权代表）无转委托权限。</w:t>
      </w:r>
    </w:p>
    <w:p>
      <w:pPr>
        <w:tabs>
          <w:tab w:val="clear" w:pos="426"/>
        </w:tabs>
        <w:ind w:firstLine="420" w:firstLineChars="200"/>
        <w:rPr>
          <w:szCs w:val="21"/>
        </w:rPr>
      </w:pPr>
      <w:r>
        <w:rPr>
          <w:rFonts w:hint="eastAsia"/>
          <w:szCs w:val="21"/>
        </w:rPr>
        <w:t>本授权书自法定代表人签字之日起生效，特此声明。</w:t>
      </w:r>
    </w:p>
    <w:p>
      <w:pPr>
        <w:tabs>
          <w:tab w:val="clear" w:pos="426"/>
        </w:tabs>
        <w:ind w:firstLine="422" w:firstLineChars="200"/>
        <w:rPr>
          <w:b/>
          <w:szCs w:val="21"/>
        </w:rPr>
      </w:pPr>
      <w:r>
        <w:rPr>
          <w:rFonts w:hint="eastAsia"/>
          <w:b/>
          <w:szCs w:val="21"/>
        </w:rPr>
        <w:t>随附《法定代表人证明》</w:t>
      </w: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6"/>
        <w:rPr>
          <w:u w:val="single"/>
        </w:rPr>
      </w:pPr>
      <w:r>
        <w:rPr>
          <w:rFonts w:hint="eastAsia"/>
        </w:rPr>
        <w:t>单位名称：</w:t>
      </w:r>
      <w:r>
        <w:rPr>
          <w:u w:val="single"/>
        </w:rPr>
        <w:t>___________________________________________________________________</w:t>
      </w:r>
    </w:p>
    <w:p>
      <w:pPr>
        <w:tabs>
          <w:tab w:val="clear" w:pos="426"/>
        </w:tabs>
        <w:ind w:firstLine="426"/>
        <w:rPr>
          <w:u w:val="single"/>
        </w:rPr>
      </w:pPr>
      <w:r>
        <w:rPr>
          <w:rFonts w:hint="eastAsia"/>
        </w:rPr>
        <w:t>法定代表人（签名或盖章）：</w:t>
      </w:r>
      <w:r>
        <w:t xml:space="preserve"> </w:t>
      </w:r>
      <w:r>
        <w:rPr>
          <w:u w:val="single"/>
        </w:rPr>
        <w:t>__________________________________________________</w:t>
      </w:r>
    </w:p>
    <w:p>
      <w:pPr>
        <w:tabs>
          <w:tab w:val="clear" w:pos="426"/>
        </w:tabs>
        <w:ind w:firstLine="426"/>
        <w:rPr>
          <w:u w:val="single"/>
        </w:rPr>
      </w:pPr>
      <w:r>
        <w:rPr>
          <w:rFonts w:hint="eastAsia"/>
        </w:rPr>
        <w:t>投标供应商授权代表（签名或盖章）：</w:t>
      </w:r>
      <w:r>
        <w:rPr>
          <w:u w:val="single"/>
        </w:rPr>
        <w:t>_______________________________________________</w:t>
      </w:r>
    </w:p>
    <w:p>
      <w:pPr>
        <w:tabs>
          <w:tab w:val="clear" w:pos="426"/>
        </w:tabs>
        <w:ind w:firstLine="426"/>
        <w:rPr>
          <w:u w:val="single"/>
        </w:rPr>
      </w:pPr>
      <w:r>
        <w:rPr>
          <w:rFonts w:hint="eastAsia"/>
        </w:rPr>
        <w:t>单位地址：</w:t>
      </w:r>
      <w:r>
        <w:rPr>
          <w:u w:val="single"/>
        </w:rPr>
        <w:t>___________________________________________________________________</w:t>
      </w:r>
    </w:p>
    <w:p>
      <w:pPr>
        <w:tabs>
          <w:tab w:val="clear" w:pos="426"/>
        </w:tabs>
        <w:ind w:firstLine="426"/>
        <w:rPr>
          <w:u w:val="single"/>
        </w:rPr>
      </w:pPr>
      <w:r>
        <w:rPr>
          <w:rFonts w:hint="eastAsia"/>
        </w:rPr>
        <w:t>单位公章：</w:t>
      </w:r>
      <w:r>
        <w:rPr>
          <w:u w:val="single"/>
        </w:rPr>
        <w:t>___________________________________________________________________</w:t>
      </w:r>
    </w:p>
    <w:p>
      <w:pPr>
        <w:tabs>
          <w:tab w:val="clear" w:pos="426"/>
        </w:tabs>
        <w:ind w:firstLine="426"/>
        <w:rPr>
          <w:u w:val="single"/>
        </w:rPr>
      </w:pPr>
      <w:r>
        <w:rPr>
          <w:rFonts w:hint="eastAsia"/>
        </w:rPr>
        <w:t>邮政编码：</w:t>
      </w:r>
      <w:r>
        <w:rPr>
          <w:u w:val="single"/>
        </w:rPr>
        <w:t>______________________________</w:t>
      </w:r>
      <w:r>
        <w:rPr>
          <w:rFonts w:hint="eastAsia"/>
        </w:rPr>
        <w:t>日期：</w:t>
      </w:r>
      <w:r>
        <w:rPr>
          <w:u w:val="single"/>
        </w:rPr>
        <w:t>_______________________________</w:t>
      </w:r>
    </w:p>
    <w:p>
      <w:pPr>
        <w:tabs>
          <w:tab w:val="clear" w:pos="426"/>
        </w:tabs>
        <w:ind w:firstLine="424" w:firstLineChars="202"/>
        <w:rPr>
          <w:szCs w:val="21"/>
        </w:rPr>
      </w:pPr>
      <w:r>
        <w:rPr>
          <w:rFonts w:hint="eastAsia"/>
        </w:rPr>
        <w:t>联系电话：</w:t>
      </w:r>
      <w:r>
        <w:rPr>
          <w:u w:val="single"/>
        </w:rPr>
        <w:t>___________________________________________________________________</w:t>
      </w:r>
    </w:p>
    <w:p>
      <w:pPr>
        <w:tabs>
          <w:tab w:val="clear" w:pos="426"/>
        </w:tabs>
        <w:ind w:firstLine="424" w:firstLineChars="202"/>
        <w:rPr>
          <w:szCs w:val="21"/>
        </w:rPr>
      </w:pPr>
    </w:p>
    <w:p>
      <w:pPr>
        <w:tabs>
          <w:tab w:val="clear" w:pos="426"/>
        </w:tabs>
        <w:ind w:firstLine="424" w:firstLineChars="202"/>
        <w:rPr>
          <w:szCs w:val="21"/>
        </w:rPr>
      </w:pPr>
      <w:r>
        <w:rPr>
          <w:rFonts w:hint="eastAsia"/>
          <w:szCs w:val="21"/>
        </w:rPr>
        <w:t>附：被授权人身份证复印件：</w:t>
      </w:r>
    </w:p>
    <w:p>
      <w:pPr>
        <w:tabs>
          <w:tab w:val="clear" w:pos="426"/>
        </w:tabs>
        <w:ind w:firstLine="424" w:firstLineChars="202"/>
        <w:rPr>
          <w:szCs w:val="21"/>
        </w:rPr>
      </w:pPr>
    </w:p>
    <w:p>
      <w:pPr>
        <w:tabs>
          <w:tab w:val="clear" w:pos="426"/>
        </w:tabs>
        <w:spacing w:line="300" w:lineRule="auto"/>
        <w:jc w:val="center"/>
      </w:pPr>
      <w:r>
        <w:br w:type="page"/>
      </w:r>
    </w:p>
    <w:p>
      <w:pPr>
        <w:widowControl w:val="0"/>
        <w:shd w:val="clear" w:color="auto" w:fill="auto"/>
        <w:tabs>
          <w:tab w:val="clear" w:pos="426"/>
        </w:tabs>
        <w:adjustRightInd/>
        <w:snapToGrid/>
        <w:spacing w:line="300" w:lineRule="auto"/>
        <w:ind w:firstLine="649"/>
        <w:jc w:val="center"/>
        <w:rPr>
          <w:rFonts w:cs="Times New Roman"/>
          <w:bCs/>
          <w:kern w:val="2"/>
          <w:sz w:val="32"/>
          <w:szCs w:val="32"/>
        </w:rPr>
      </w:pPr>
    </w:p>
    <w:p>
      <w:pPr>
        <w:widowControl w:val="0"/>
        <w:shd w:val="clear" w:color="auto" w:fill="auto"/>
        <w:tabs>
          <w:tab w:val="clear" w:pos="426"/>
        </w:tabs>
        <w:adjustRightInd/>
        <w:snapToGrid/>
        <w:spacing w:line="300" w:lineRule="auto"/>
        <w:ind w:firstLine="649"/>
        <w:jc w:val="center"/>
        <w:rPr>
          <w:rFonts w:cs="Times New Roman"/>
          <w:bCs/>
          <w:kern w:val="2"/>
          <w:sz w:val="32"/>
          <w:szCs w:val="32"/>
        </w:rPr>
      </w:pPr>
      <w:r>
        <w:rPr>
          <w:rFonts w:hint="eastAsia" w:cs="Times New Roman"/>
          <w:bCs/>
          <w:kern w:val="2"/>
          <w:sz w:val="32"/>
          <w:szCs w:val="32"/>
        </w:rPr>
        <w:t>法定代表人证明书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u w:val="single"/>
        </w:rPr>
        <w:t>__________</w:t>
      </w:r>
      <w:r>
        <w:rPr>
          <w:rFonts w:hint="eastAsia"/>
        </w:rPr>
        <w:t>同志，现任我单位职务，为法定代表人，特此证明。</w:t>
      </w:r>
    </w:p>
    <w:p>
      <w:pPr>
        <w:tabs>
          <w:tab w:val="clear" w:pos="426"/>
        </w:tabs>
        <w:spacing w:line="480" w:lineRule="auto"/>
        <w:ind w:firstLine="424" w:firstLineChars="202"/>
      </w:pPr>
      <w:r>
        <w:rPr>
          <w:rFonts w:hint="eastAsia"/>
        </w:rPr>
        <w:t>本证明书自签发之日起生效，有效期与本公司投标文件中标注的投标有效期相同。</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rPr>
          <w:u w:val="single"/>
        </w:rPr>
      </w:pPr>
      <w:r>
        <w:rPr>
          <w:rFonts w:hint="eastAsia"/>
        </w:rPr>
        <w:t>营业执照（注册号）：</w:t>
      </w:r>
      <w:r>
        <w:rPr>
          <w:u w:val="single"/>
        </w:rPr>
        <w:t>____________________________________________________________________</w:t>
      </w:r>
    </w:p>
    <w:p>
      <w:pPr>
        <w:tabs>
          <w:tab w:val="clear" w:pos="426"/>
        </w:tabs>
        <w:spacing w:line="480" w:lineRule="auto"/>
        <w:ind w:firstLine="424" w:firstLineChars="202"/>
        <w:rPr>
          <w:u w:val="single"/>
        </w:rPr>
      </w:pPr>
      <w:r>
        <w:rPr>
          <w:rFonts w:hint="eastAsia"/>
        </w:rPr>
        <w:t>经济性质：</w:t>
      </w:r>
      <w:r>
        <w:rPr>
          <w:u w:val="single"/>
        </w:rPr>
        <w:t>____________________________________________________________________________</w:t>
      </w:r>
    </w:p>
    <w:p>
      <w:pPr>
        <w:tabs>
          <w:tab w:val="clear" w:pos="426"/>
        </w:tabs>
        <w:spacing w:line="480" w:lineRule="auto"/>
        <w:ind w:firstLine="424" w:firstLineChars="202"/>
        <w:rPr>
          <w:u w:val="single"/>
        </w:rPr>
      </w:pPr>
      <w:r>
        <w:rPr>
          <w:rFonts w:hint="eastAsia"/>
        </w:rPr>
        <w:t>主营（产）：</w:t>
      </w:r>
      <w:r>
        <w:rPr>
          <w:u w:val="single"/>
        </w:rPr>
        <w:t>____________________________________________________________________________</w:t>
      </w:r>
    </w:p>
    <w:p>
      <w:pPr>
        <w:tabs>
          <w:tab w:val="clear" w:pos="426"/>
        </w:tabs>
        <w:spacing w:line="480" w:lineRule="auto"/>
        <w:ind w:firstLine="424" w:firstLineChars="202"/>
        <w:rPr>
          <w:u w:val="single"/>
        </w:rPr>
      </w:pPr>
      <w:r>
        <w:rPr>
          <w:rFonts w:hint="eastAsia"/>
        </w:rPr>
        <w:t>兼营（产）：</w:t>
      </w:r>
      <w:r>
        <w:rPr>
          <w:u w:val="single"/>
        </w:rPr>
        <w:t>____________________________________________________________________________</w:t>
      </w:r>
    </w:p>
    <w:p>
      <w:pPr>
        <w:tabs>
          <w:tab w:val="clear" w:pos="426"/>
        </w:tabs>
        <w:ind w:firstLine="424" w:firstLineChars="202"/>
      </w:pPr>
    </w:p>
    <w:p>
      <w:pPr>
        <w:tabs>
          <w:tab w:val="clear" w:pos="426"/>
        </w:tabs>
        <w:ind w:firstLine="424" w:firstLineChars="202"/>
        <w:rPr>
          <w:szCs w:val="21"/>
        </w:rPr>
      </w:pPr>
      <w:r>
        <w:rPr>
          <w:rFonts w:hint="eastAsia"/>
          <w:szCs w:val="21"/>
        </w:rPr>
        <w:t>附：法定代表人身份证复印件：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3822" w:leftChars="1820"/>
        <w:rPr>
          <w:u w:val="single"/>
        </w:rPr>
      </w:pPr>
      <w:r>
        <w:rPr>
          <w:rFonts w:hint="eastAsia"/>
        </w:rPr>
        <w:t>投标供应商名称（单位盖</w:t>
      </w:r>
      <w:r>
        <w:rPr>
          <w:rFonts w:hint="eastAsia"/>
          <w:spacing w:val="4"/>
        </w:rPr>
        <w:t>公章</w:t>
      </w:r>
      <w:r>
        <w:rPr>
          <w:rFonts w:hint="eastAsia"/>
        </w:rPr>
        <w:t>）：</w:t>
      </w:r>
      <w:r>
        <w:rPr>
          <w:u w:val="single"/>
        </w:rPr>
        <w:t>_______________________</w:t>
      </w:r>
    </w:p>
    <w:p>
      <w:pPr>
        <w:tabs>
          <w:tab w:val="clear" w:pos="426"/>
        </w:tabs>
        <w:spacing w:line="500" w:lineRule="exact"/>
        <w:ind w:left="3822" w:leftChars="1820"/>
        <w:rPr>
          <w:u w:val="single"/>
        </w:rPr>
      </w:pPr>
      <w:r>
        <w:rPr>
          <w:rFonts w:hint="eastAsia"/>
        </w:rPr>
        <w:t>地址：</w:t>
      </w:r>
      <w:r>
        <w:rPr>
          <w:u w:val="single"/>
        </w:rPr>
        <w:t>___________________________________________</w:t>
      </w:r>
    </w:p>
    <w:p>
      <w:pPr>
        <w:tabs>
          <w:tab w:val="clear" w:pos="426"/>
        </w:tabs>
        <w:spacing w:line="500" w:lineRule="exact"/>
        <w:ind w:left="3822" w:leftChars="1820"/>
        <w:rPr>
          <w:u w:val="single"/>
        </w:rPr>
      </w:pPr>
      <w:r>
        <w:rPr>
          <w:rFonts w:hint="eastAsia"/>
        </w:rPr>
        <w:t>签发日期：</w:t>
      </w:r>
      <w:r>
        <w:rPr>
          <w:u w:val="single"/>
        </w:rPr>
        <w:t>_______________________________________</w:t>
      </w:r>
    </w:p>
    <w:p>
      <w:pPr>
        <w:tabs>
          <w:tab w:val="clear" w:pos="426"/>
        </w:tabs>
        <w:spacing w:line="500" w:lineRule="exact"/>
        <w:ind w:left="3822" w:leftChars="1820" w:firstLine="424"/>
        <w:rPr>
          <w:b/>
          <w:bCs/>
          <w:u w:val="single"/>
        </w:rPr>
      </w:pPr>
    </w:p>
    <w:p>
      <w:pPr>
        <w:pStyle w:val="5"/>
        <w:numPr>
          <w:ilvl w:val="0"/>
          <w:numId w:val="35"/>
        </w:numPr>
        <w:tabs>
          <w:tab w:val="clear" w:pos="1680"/>
        </w:tabs>
        <w:ind w:firstLine="566"/>
        <w:jc w:val="left"/>
      </w:pPr>
      <w:r>
        <w:br w:type="page"/>
      </w:r>
      <w:bookmarkStart w:id="101" w:name="_Toc36822691"/>
      <w:r>
        <w:rPr>
          <w:rFonts w:hint="eastAsia"/>
        </w:rPr>
        <w:t>、投标供应商基本情况表</w:t>
      </w:r>
      <w:bookmarkEnd w:id="101"/>
    </w:p>
    <w:p>
      <w:pPr>
        <w:widowControl w:val="0"/>
        <w:shd w:val="clear" w:color="auto" w:fill="auto"/>
        <w:tabs>
          <w:tab w:val="clear" w:pos="426"/>
        </w:tabs>
        <w:adjustRightInd/>
        <w:snapToGrid/>
        <w:spacing w:line="300" w:lineRule="auto"/>
        <w:ind w:firstLine="649"/>
        <w:jc w:val="center"/>
        <w:rPr>
          <w:rFonts w:cs="Times New Roman"/>
          <w:bCs/>
          <w:kern w:val="2"/>
          <w:sz w:val="32"/>
          <w:szCs w:val="32"/>
        </w:rPr>
      </w:pPr>
      <w:r>
        <w:rPr>
          <w:rFonts w:hint="eastAsia" w:cs="Times New Roman"/>
          <w:bCs/>
          <w:kern w:val="2"/>
          <w:sz w:val="32"/>
          <w:szCs w:val="32"/>
        </w:rPr>
        <w:t>投标供应商基本情况表</w:t>
      </w:r>
    </w:p>
    <w:p>
      <w:pPr>
        <w:widowControl w:val="0"/>
        <w:shd w:val="clear" w:color="auto" w:fill="auto"/>
        <w:tabs>
          <w:tab w:val="clear" w:pos="426"/>
        </w:tabs>
        <w:adjustRightInd/>
        <w:snapToGrid/>
        <w:rPr>
          <w:rFonts w:cs="Arial"/>
          <w:b/>
          <w:szCs w:val="21"/>
        </w:rPr>
      </w:pPr>
      <w:bookmarkStart w:id="102" w:name="_Hlk167896442"/>
      <w:r>
        <w:rPr>
          <w:rFonts w:hint="eastAsia" w:cs="Arial"/>
          <w:b/>
          <w:szCs w:val="21"/>
        </w:rPr>
        <w:t>一、公司基本情况</w:t>
      </w:r>
    </w:p>
    <w:bookmarkEnd w:id="102"/>
    <w:p>
      <w:pPr>
        <w:widowControl w:val="0"/>
        <w:numPr>
          <w:ilvl w:val="1"/>
          <w:numId w:val="36"/>
        </w:numPr>
        <w:shd w:val="clear" w:color="auto" w:fill="auto"/>
        <w:tabs>
          <w:tab w:val="clear" w:pos="426"/>
        </w:tabs>
        <w:adjustRightInd/>
        <w:snapToGrid/>
        <w:ind w:left="0" w:firstLine="426"/>
        <w:rPr>
          <w:rFonts w:cs="Arial"/>
          <w:szCs w:val="21"/>
        </w:rPr>
      </w:pPr>
      <w:r>
        <w:rPr>
          <w:rFonts w:hint="eastAsia" w:cs="Arial"/>
          <w:szCs w:val="21"/>
        </w:rPr>
        <w:t>公司名称：</w:t>
      </w:r>
      <w:r>
        <w:rPr>
          <w:rFonts w:cs="Arial"/>
          <w:szCs w:val="21"/>
          <w:u w:val="single"/>
        </w:rPr>
        <w:t>___________________________________________</w:t>
      </w:r>
      <w:r>
        <w:rPr>
          <w:rFonts w:hint="eastAsia" w:cs="Arial"/>
          <w:szCs w:val="21"/>
        </w:rPr>
        <w:t>电话号码：</w:t>
      </w:r>
      <w:r>
        <w:rPr>
          <w:rFonts w:cs="Arial"/>
          <w:szCs w:val="21"/>
          <w:u w:val="single"/>
        </w:rPr>
        <w:t>_____________________</w:t>
      </w:r>
    </w:p>
    <w:p>
      <w:pPr>
        <w:widowControl w:val="0"/>
        <w:numPr>
          <w:ilvl w:val="1"/>
          <w:numId w:val="36"/>
        </w:numPr>
        <w:shd w:val="clear" w:color="auto" w:fill="auto"/>
        <w:tabs>
          <w:tab w:val="clear" w:pos="426"/>
        </w:tabs>
        <w:adjustRightInd/>
        <w:snapToGrid/>
        <w:ind w:left="0" w:firstLine="426"/>
        <w:rPr>
          <w:rFonts w:cs="Arial"/>
          <w:szCs w:val="21"/>
        </w:rPr>
      </w:pPr>
      <w:r>
        <w:rPr>
          <w:rFonts w:hint="eastAsia" w:cs="Arial"/>
          <w:szCs w:val="21"/>
        </w:rPr>
        <w:t>地</w:t>
      </w:r>
      <w:r>
        <w:rPr>
          <w:rFonts w:cs="Arial"/>
          <w:szCs w:val="21"/>
        </w:rPr>
        <w:t xml:space="preserve">    </w:t>
      </w:r>
      <w:r>
        <w:rPr>
          <w:rFonts w:hint="eastAsia" w:cs="Arial"/>
          <w:szCs w:val="21"/>
        </w:rPr>
        <w:t>址：</w:t>
      </w:r>
      <w:r>
        <w:rPr>
          <w:rFonts w:cs="Arial"/>
          <w:szCs w:val="21"/>
          <w:u w:val="single"/>
        </w:rPr>
        <w:t>___________________________________________</w:t>
      </w:r>
      <w:r>
        <w:rPr>
          <w:rFonts w:hint="eastAsia" w:cs="Arial"/>
          <w:szCs w:val="21"/>
        </w:rPr>
        <w:t>传</w:t>
      </w:r>
      <w:r>
        <w:rPr>
          <w:rFonts w:cs="Arial"/>
          <w:szCs w:val="21"/>
        </w:rPr>
        <w:t xml:space="preserve">    </w:t>
      </w:r>
      <w:r>
        <w:rPr>
          <w:rFonts w:hint="eastAsia" w:cs="Arial"/>
          <w:szCs w:val="21"/>
        </w:rPr>
        <w:t>真：</w:t>
      </w:r>
      <w:r>
        <w:rPr>
          <w:rFonts w:cs="Arial"/>
          <w:szCs w:val="21"/>
          <w:u w:val="single"/>
        </w:rPr>
        <w:t>_____________________</w:t>
      </w:r>
    </w:p>
    <w:p>
      <w:pPr>
        <w:widowControl w:val="0"/>
        <w:numPr>
          <w:ilvl w:val="1"/>
          <w:numId w:val="36"/>
        </w:numPr>
        <w:shd w:val="clear" w:color="auto" w:fill="auto"/>
        <w:tabs>
          <w:tab w:val="clear" w:pos="426"/>
        </w:tabs>
        <w:adjustRightInd/>
        <w:snapToGrid/>
        <w:ind w:left="0" w:firstLine="426"/>
        <w:rPr>
          <w:rFonts w:cs="Arial"/>
          <w:szCs w:val="21"/>
          <w:u w:val="single"/>
        </w:rPr>
      </w:pPr>
      <w:r>
        <w:rPr>
          <w:rFonts w:hint="eastAsia" w:cs="Arial"/>
          <w:szCs w:val="21"/>
        </w:rPr>
        <w:t>注册资金：</w:t>
      </w:r>
      <w:r>
        <w:rPr>
          <w:rFonts w:cs="Arial"/>
          <w:szCs w:val="21"/>
          <w:u w:val="single"/>
        </w:rPr>
        <w:t>___________________________________________</w:t>
      </w:r>
      <w:r>
        <w:rPr>
          <w:rFonts w:hint="eastAsia" w:cs="Arial"/>
          <w:szCs w:val="21"/>
        </w:rPr>
        <w:t>经济性质：</w:t>
      </w:r>
      <w:r>
        <w:rPr>
          <w:rFonts w:cs="Arial"/>
          <w:szCs w:val="21"/>
          <w:u w:val="single"/>
        </w:rPr>
        <w:t>____________________</w:t>
      </w:r>
    </w:p>
    <w:p>
      <w:pPr>
        <w:widowControl w:val="0"/>
        <w:numPr>
          <w:ilvl w:val="1"/>
          <w:numId w:val="36"/>
        </w:numPr>
        <w:shd w:val="clear" w:color="auto" w:fill="auto"/>
        <w:tabs>
          <w:tab w:val="clear" w:pos="426"/>
        </w:tabs>
        <w:adjustRightInd/>
        <w:snapToGrid/>
        <w:ind w:left="0" w:firstLine="426"/>
        <w:rPr>
          <w:rFonts w:cs="Arial"/>
          <w:szCs w:val="21"/>
          <w:u w:val="single"/>
        </w:rPr>
      </w:pPr>
      <w:r>
        <w:rPr>
          <w:rFonts w:hint="eastAsia" w:cs="Arial"/>
          <w:szCs w:val="21"/>
        </w:rPr>
        <w:t>公司开户银行名称及账号：</w:t>
      </w:r>
      <w:r>
        <w:rPr>
          <w:rFonts w:cs="Arial"/>
          <w:szCs w:val="21"/>
          <w:u w:val="single"/>
        </w:rPr>
        <w:t>____________________________________________________________</w:t>
      </w:r>
    </w:p>
    <w:p>
      <w:pPr>
        <w:widowControl w:val="0"/>
        <w:numPr>
          <w:ilvl w:val="1"/>
          <w:numId w:val="36"/>
        </w:numPr>
        <w:shd w:val="clear" w:color="auto" w:fill="auto"/>
        <w:tabs>
          <w:tab w:val="clear" w:pos="426"/>
        </w:tabs>
        <w:adjustRightInd/>
        <w:snapToGrid/>
        <w:ind w:left="0" w:firstLine="426"/>
        <w:rPr>
          <w:rFonts w:cs="Arial"/>
          <w:szCs w:val="21"/>
        </w:rPr>
      </w:pPr>
      <w:r>
        <w:rPr>
          <w:rFonts w:hint="eastAsia" w:cs="Arial"/>
          <w:szCs w:val="21"/>
        </w:rPr>
        <w:t>营业注册执照号：</w:t>
      </w:r>
      <w:r>
        <w:rPr>
          <w:rFonts w:cs="Arial"/>
          <w:szCs w:val="21"/>
          <w:u w:val="single"/>
        </w:rPr>
        <w:t>____________________________________________________________________</w:t>
      </w:r>
    </w:p>
    <w:p>
      <w:pPr>
        <w:widowControl w:val="0"/>
        <w:numPr>
          <w:ilvl w:val="1"/>
          <w:numId w:val="36"/>
        </w:numPr>
        <w:shd w:val="clear" w:color="auto" w:fill="auto"/>
        <w:tabs>
          <w:tab w:val="clear" w:pos="426"/>
        </w:tabs>
        <w:adjustRightInd/>
        <w:snapToGrid/>
        <w:ind w:left="0" w:firstLine="426"/>
        <w:rPr>
          <w:rFonts w:cs="Arial"/>
          <w:szCs w:val="21"/>
        </w:rPr>
      </w:pPr>
      <w:r>
        <w:rPr>
          <w:rFonts w:hint="eastAsia" w:cs="Arial"/>
          <w:szCs w:val="21"/>
        </w:rPr>
        <w:t>公司简介</w:t>
      </w:r>
      <w:r>
        <w:rPr>
          <w:rFonts w:cs="Arial"/>
          <w:szCs w:val="21"/>
          <w:u w:val="single"/>
        </w:rPr>
        <w:t>___________________________________________________________________________</w:t>
      </w:r>
    </w:p>
    <w:p>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、技术力量、财务状况、管理水平等方面进行阐述；</w:t>
      </w:r>
    </w:p>
    <w:p>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pPr>
        <w:widowControl w:val="0"/>
        <w:shd w:val="clear" w:color="auto" w:fill="auto"/>
        <w:tabs>
          <w:tab w:val="clear" w:pos="426"/>
        </w:tabs>
        <w:adjustRightInd/>
        <w:snapToGrid/>
        <w:rPr>
          <w:rFonts w:cs="Arial"/>
          <w:b/>
          <w:szCs w:val="21"/>
        </w:rPr>
      </w:pPr>
      <w:r>
        <w:rPr>
          <w:rFonts w:hint="eastAsia" w:cs="Arial"/>
          <w:b/>
          <w:szCs w:val="21"/>
        </w:rPr>
        <w:t>二、供应商资格证明文件</w:t>
      </w:r>
    </w:p>
    <w:p>
      <w:pPr>
        <w:tabs>
          <w:tab w:val="clear" w:pos="426"/>
        </w:tabs>
        <w:spacing w:before="231" w:beforeLines="50"/>
        <w:ind w:firstLine="424" w:firstLineChars="201"/>
        <w:rPr>
          <w:b/>
        </w:rPr>
      </w:pPr>
      <w:r>
        <w:rPr>
          <w:rFonts w:hint="eastAsia"/>
          <w:b/>
        </w:rPr>
        <w:t>1</w:t>
      </w:r>
      <w:r>
        <w:rPr>
          <w:b/>
        </w:rPr>
        <w:t>.</w:t>
      </w:r>
      <w:r>
        <w:rPr>
          <w:rFonts w:hint="eastAsia"/>
          <w:b/>
        </w:rPr>
        <w:t>投标供应商须按本招标文件第一章招标公告第二条“申请人的资格要求”提供相关的资质证明，且已接受报名的单位，不代表资格审查通过。投标文件中未提供或提供不完整、不符合要求的，投标文件将按无效标的情形处理。</w:t>
      </w:r>
    </w:p>
    <w:p>
      <w:pPr>
        <w:tabs>
          <w:tab w:val="clear" w:pos="426"/>
        </w:tabs>
        <w:spacing w:before="231" w:beforeLines="50"/>
        <w:ind w:firstLine="424" w:firstLineChars="201"/>
        <w:rPr>
          <w:b/>
        </w:rPr>
      </w:pPr>
      <w:r>
        <w:rPr>
          <w:rFonts w:hint="eastAsia"/>
          <w:b/>
        </w:rPr>
        <w:t>2</w:t>
      </w:r>
      <w:r>
        <w:rPr>
          <w:b/>
        </w:rPr>
        <w:t>.</w:t>
      </w:r>
      <w:r>
        <w:rPr>
          <w:rFonts w:hint="eastAsia"/>
          <w:b/>
        </w:rPr>
        <w:t>优惠政策声明函等证明文件（可选）</w:t>
      </w:r>
    </w:p>
    <w:p>
      <w:pPr>
        <w:tabs>
          <w:tab w:val="clear" w:pos="426"/>
        </w:tabs>
        <w:spacing w:line="400" w:lineRule="exact"/>
      </w:pPr>
      <w:r>
        <w:rPr>
          <w:rFonts w:hint="eastAsia"/>
        </w:rPr>
        <w:t>填写指引：</w:t>
      </w:r>
    </w:p>
    <w:p>
      <w:pPr>
        <w:tabs>
          <w:tab w:val="clear" w:pos="426"/>
        </w:tabs>
        <w:spacing w:line="400" w:lineRule="exact"/>
      </w:pPr>
      <w:r>
        <w:t>1.</w:t>
      </w:r>
      <w:r>
        <w:rPr>
          <w:rFonts w:hint="eastAsia"/>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t>2011</w:t>
      </w:r>
      <w:r>
        <w:rPr>
          <w:rFonts w:hint="eastAsia"/>
        </w:rPr>
        <w:t>〕</w:t>
      </w:r>
      <w:r>
        <w:t>300</w:t>
      </w:r>
      <w:r>
        <w:rPr>
          <w:rFonts w:hint="eastAsia"/>
        </w:rPr>
        <w:t>号）。</w:t>
      </w:r>
      <w:r>
        <w:t xml:space="preserve"> </w:t>
      </w:r>
    </w:p>
    <w:p>
      <w:pPr>
        <w:tabs>
          <w:tab w:val="clear" w:pos="426"/>
        </w:tabs>
        <w:spacing w:line="400" w:lineRule="exact"/>
      </w:pPr>
      <w:r>
        <w:t>2.</w:t>
      </w:r>
      <w:r>
        <w:rPr>
          <w:rFonts w:hint="eastAsia"/>
        </w:rPr>
        <w:t>该部分内容填写需要参考的相关文件：</w:t>
      </w:r>
    </w:p>
    <w:p>
      <w:pPr>
        <w:tabs>
          <w:tab w:val="clear" w:pos="426"/>
        </w:tabs>
        <w:spacing w:line="400" w:lineRule="exact"/>
      </w:pPr>
      <w:r>
        <w:rPr>
          <w:rFonts w:hint="eastAsia"/>
        </w:rPr>
        <w:t>（</w:t>
      </w:r>
      <w:r>
        <w:t>1</w:t>
      </w:r>
      <w:r>
        <w:rPr>
          <w:rFonts w:hint="eastAsia"/>
        </w:rPr>
        <w:t>）《关于印发〈政府采购促进中小企业发展管理办法〉的通知》（财库〔</w:t>
      </w:r>
      <w:r>
        <w:t>2020</w:t>
      </w:r>
      <w:r>
        <w:rPr>
          <w:rFonts w:hint="eastAsia"/>
        </w:rPr>
        <w:t>〕</w:t>
      </w:r>
      <w:r>
        <w:t>46</w:t>
      </w:r>
      <w:r>
        <w:rPr>
          <w:rFonts w:hint="eastAsia"/>
        </w:rPr>
        <w:t>号）；</w:t>
      </w:r>
    </w:p>
    <w:p>
      <w:pPr>
        <w:tabs>
          <w:tab w:val="clear" w:pos="426"/>
        </w:tabs>
        <w:spacing w:line="400" w:lineRule="exact"/>
      </w:pPr>
      <w:r>
        <w:rPr>
          <w:rFonts w:hint="eastAsia"/>
        </w:rPr>
        <w:t>（</w:t>
      </w:r>
      <w:r>
        <w:t>2</w:t>
      </w:r>
      <w:r>
        <w:rPr>
          <w:rFonts w:hint="eastAsia"/>
        </w:rPr>
        <w:t>）《工业和信息化部、国家统计局、国家发展和改革委员会、财政部关于印发中小企业划型标准规定的通知》（工信部联企业〔</w:t>
      </w:r>
      <w:r>
        <w:t>2011</w:t>
      </w:r>
      <w:r>
        <w:rPr>
          <w:rFonts w:hint="eastAsia"/>
        </w:rPr>
        <w:t>〕</w:t>
      </w:r>
      <w:r>
        <w:t>300</w:t>
      </w:r>
      <w:r>
        <w:rPr>
          <w:rFonts w:hint="eastAsia"/>
        </w:rPr>
        <w:t>号）；</w:t>
      </w:r>
    </w:p>
    <w:p>
      <w:pPr>
        <w:tabs>
          <w:tab w:val="clear" w:pos="426"/>
        </w:tabs>
        <w:spacing w:line="400" w:lineRule="exact"/>
      </w:pPr>
      <w:r>
        <w:rPr>
          <w:rFonts w:hint="eastAsia"/>
        </w:rPr>
        <w:t>（</w:t>
      </w:r>
      <w:r>
        <w:t>3</w:t>
      </w:r>
      <w:r>
        <w:rPr>
          <w:rFonts w:hint="eastAsia"/>
        </w:rPr>
        <w:t>）《关于印发〈统计上大中小微型企业划分办法（</w:t>
      </w:r>
      <w:r>
        <w:t>2017</w:t>
      </w:r>
      <w:r>
        <w:rPr>
          <w:rFonts w:hint="eastAsia"/>
        </w:rPr>
        <w:t>）〉的通知》；</w:t>
      </w:r>
    </w:p>
    <w:p>
      <w:pPr>
        <w:tabs>
          <w:tab w:val="clear" w:pos="426"/>
        </w:tabs>
        <w:spacing w:line="400" w:lineRule="exact"/>
      </w:pPr>
      <w:r>
        <w:rPr>
          <w:rFonts w:hint="eastAsia"/>
        </w:rPr>
        <w:t>（</w:t>
      </w:r>
      <w:r>
        <w:t>4</w:t>
      </w:r>
      <w:r>
        <w:rPr>
          <w:rFonts w:hint="eastAsia"/>
        </w:rPr>
        <w:t>）《关于促进残疾人就业政府采购政策的通知》（财库〔</w:t>
      </w:r>
      <w:r>
        <w:t>2017</w:t>
      </w:r>
      <w:r>
        <w:rPr>
          <w:rFonts w:hint="eastAsia"/>
        </w:rPr>
        <w:t>〕</w:t>
      </w:r>
      <w:r>
        <w:t>141</w:t>
      </w:r>
      <w:r>
        <w:rPr>
          <w:rFonts w:hint="eastAsia"/>
        </w:rPr>
        <w:t>号）。</w:t>
      </w:r>
      <w:r>
        <w:t xml:space="preserve"> </w:t>
      </w:r>
    </w:p>
    <w:p>
      <w:pPr>
        <w:tabs>
          <w:tab w:val="clear" w:pos="426"/>
        </w:tabs>
        <w:spacing w:line="400" w:lineRule="exact"/>
      </w:pPr>
      <w:r>
        <w:rPr>
          <w:rFonts w:hint="eastAsia"/>
        </w:rPr>
        <w:t>（</w:t>
      </w:r>
      <w:r>
        <w:t>5</w:t>
      </w:r>
      <w:r>
        <w:rPr>
          <w:rFonts w:hint="eastAsia"/>
        </w:rPr>
        <w:t>）</w:t>
      </w:r>
      <w:bookmarkStart w:id="103" w:name="_Hlk106894439"/>
      <w:r>
        <w:rPr>
          <w:rFonts w:hint="eastAsia"/>
        </w:rPr>
        <w:t>《国务院关于印发扎实稳住经济一揽子政策措施的通知》（国发〔</w:t>
      </w:r>
      <w:r>
        <w:t>2022</w:t>
      </w:r>
      <w:r>
        <w:rPr>
          <w:rFonts w:hint="eastAsia"/>
        </w:rPr>
        <w:t>〕</w:t>
      </w:r>
      <w:r>
        <w:t>12</w:t>
      </w:r>
      <w:r>
        <w:rPr>
          <w:rFonts w:hint="eastAsia"/>
        </w:rPr>
        <w:t>号）</w:t>
      </w:r>
      <w:bookmarkEnd w:id="103"/>
      <w:r>
        <w:rPr>
          <w:rFonts w:hint="eastAsia"/>
        </w:rPr>
        <w:t>。</w:t>
      </w:r>
    </w:p>
    <w:p>
      <w:pPr>
        <w:tabs>
          <w:tab w:val="clear" w:pos="426"/>
        </w:tabs>
        <w:spacing w:line="400" w:lineRule="exact"/>
      </w:pPr>
      <w:r>
        <w:t>3.</w:t>
      </w:r>
      <w:r>
        <w:rPr>
          <w:rFonts w:hint="eastAsia"/>
        </w:rPr>
        <w:t>请依照提供的格式和内容填写声明函，不要随意变更格式或增删内容；满足多项优惠政策的企业，不重复享受多项价格扣除政策。</w:t>
      </w:r>
      <w:r>
        <w:t xml:space="preserve"> </w:t>
      </w:r>
    </w:p>
    <w:p>
      <w:pPr>
        <w:tabs>
          <w:tab w:val="clear" w:pos="426"/>
        </w:tabs>
        <w:spacing w:line="400" w:lineRule="exact"/>
      </w:pPr>
      <w:r>
        <w:t>4.</w:t>
      </w:r>
      <w:r>
        <w:rPr>
          <w:rFonts w:hint="eastAsia"/>
        </w:rPr>
        <w:t>声明函的有效性最终由评审委员会判定。</w:t>
      </w:r>
    </w:p>
    <w:p>
      <w:pPr>
        <w:shd w:val="clear" w:color="auto" w:fill="auto"/>
        <w:tabs>
          <w:tab w:val="clear" w:pos="426"/>
        </w:tabs>
        <w:adjustRightInd/>
        <w:snapToGrid/>
        <w:spacing w:line="240" w:lineRule="auto"/>
        <w:jc w:val="left"/>
      </w:pPr>
    </w:p>
    <w:p>
      <w:pPr>
        <w:spacing w:line="240" w:lineRule="auto"/>
        <w:ind w:firstLine="643" w:firstLineChars="200"/>
        <w:jc w:val="center"/>
        <w:rPr>
          <w:b/>
          <w:sz w:val="32"/>
          <w:szCs w:val="32"/>
        </w:rPr>
      </w:pPr>
      <w:r>
        <w:rPr>
          <w:rFonts w:hint="eastAsia"/>
          <w:b/>
          <w:sz w:val="32"/>
          <w:szCs w:val="32"/>
        </w:rPr>
        <w:t>（一）中小企业声明函（样表）</w:t>
      </w:r>
    </w:p>
    <w:p>
      <w:pPr>
        <w:spacing w:line="240" w:lineRule="auto"/>
        <w:ind w:firstLine="420" w:firstLineChars="200"/>
        <w:jc w:val="left"/>
        <w:rPr>
          <w:szCs w:val="21"/>
        </w:rPr>
      </w:pPr>
      <w:r>
        <w:rPr>
          <w:rFonts w:hint="eastAsia"/>
          <w:szCs w:val="21"/>
        </w:rPr>
        <w:t>本公司已知悉《政府采购促进中小企业发展管理办法》（财库〔</w:t>
      </w:r>
      <w:r>
        <w:rPr>
          <w:szCs w:val="21"/>
        </w:rPr>
        <w:t>2020</w:t>
      </w:r>
      <w:r>
        <w:rPr>
          <w:rFonts w:hint="eastAsia"/>
          <w:szCs w:val="21"/>
        </w:rPr>
        <w:t>〕</w:t>
      </w:r>
      <w:r>
        <w:rPr>
          <w:szCs w:val="21"/>
        </w:rPr>
        <w:t>46</w:t>
      </w:r>
      <w:r>
        <w:rPr>
          <w:rFonts w:hint="eastAsia"/>
          <w:szCs w:val="21"/>
        </w:rPr>
        <w:t>号）、《中小企业划型标准规定》（工信部联企〔</w:t>
      </w:r>
      <w:r>
        <w:rPr>
          <w:szCs w:val="21"/>
        </w:rPr>
        <w:t>2011</w:t>
      </w:r>
      <w:r>
        <w:rPr>
          <w:rFonts w:hint="eastAsia"/>
          <w:szCs w:val="21"/>
        </w:rPr>
        <w:t>〕</w:t>
      </w:r>
      <w:r>
        <w:rPr>
          <w:szCs w:val="21"/>
        </w:rPr>
        <w:t>300</w:t>
      </w:r>
      <w:r>
        <w:rPr>
          <w:rFonts w:hint="eastAsia"/>
          <w:szCs w:val="21"/>
        </w:rPr>
        <w:t>号）、《统计上大中小微型企业划分办法（</w:t>
      </w:r>
      <w:r>
        <w:rPr>
          <w:szCs w:val="21"/>
        </w:rPr>
        <w:t>2017</w:t>
      </w:r>
      <w:r>
        <w:rPr>
          <w:rFonts w:hint="eastAsia"/>
          <w:szCs w:val="21"/>
        </w:rPr>
        <w:t>）》等规定，承诺提供的声明函内容是真实的，并知悉根据《政府采购促进中小企业发展管理办法》（财库〔</w:t>
      </w:r>
      <w:r>
        <w:rPr>
          <w:szCs w:val="21"/>
        </w:rPr>
        <w:t>2020</w:t>
      </w:r>
      <w:r>
        <w:rPr>
          <w:rFonts w:hint="eastAsia"/>
          <w:szCs w:val="21"/>
        </w:rPr>
        <w:t>〕</w:t>
      </w:r>
      <w:r>
        <w:rPr>
          <w:szCs w:val="21"/>
        </w:rPr>
        <w:t>46</w:t>
      </w:r>
      <w:r>
        <w:rPr>
          <w:rFonts w:hint="eastAsia"/>
          <w:szCs w:val="21"/>
        </w:rPr>
        <w:t>号）第二十条规定，供应商按照本办法规定提供声明函内容不实的，属于提供虚假材料谋取中标、成交，依照《政府采购法》等政府采购有关法律法规规定追究相应责任。</w:t>
      </w:r>
    </w:p>
    <w:p>
      <w:pPr>
        <w:spacing w:line="240" w:lineRule="auto"/>
        <w:ind w:firstLine="420" w:firstLineChars="200"/>
        <w:jc w:val="left"/>
        <w:rPr>
          <w:szCs w:val="21"/>
        </w:rPr>
      </w:pPr>
      <w:r>
        <w:rPr>
          <w:rFonts w:hint="eastAsia"/>
          <w:szCs w:val="21"/>
        </w:rPr>
        <w:t>本公司郑重声明，根据《关于印发</w:t>
      </w:r>
      <w:r>
        <w:rPr>
          <w:szCs w:val="21"/>
        </w:rPr>
        <w:t>&lt;</w:t>
      </w:r>
      <w:r>
        <w:rPr>
          <w:rFonts w:hint="eastAsia"/>
          <w:szCs w:val="21"/>
        </w:rPr>
        <w:t>政府采购促进中小企业发展管理办法</w:t>
      </w:r>
      <w:r>
        <w:rPr>
          <w:szCs w:val="21"/>
        </w:rPr>
        <w:t>&gt;</w:t>
      </w:r>
      <w:r>
        <w:rPr>
          <w:rFonts w:hint="eastAsia"/>
          <w:szCs w:val="21"/>
        </w:rPr>
        <w:t>的通知》（财库〔</w:t>
      </w:r>
      <w:r>
        <w:rPr>
          <w:szCs w:val="21"/>
        </w:rPr>
        <w:t>2020</w:t>
      </w:r>
      <w:r>
        <w:rPr>
          <w:rFonts w:hint="eastAsia"/>
          <w:szCs w:val="21"/>
        </w:rPr>
        <w:t>〕</w:t>
      </w:r>
      <w:r>
        <w:rPr>
          <w:szCs w:val="21"/>
        </w:rPr>
        <w:t>46</w:t>
      </w:r>
      <w:r>
        <w:rPr>
          <w:rFonts w:hint="eastAsia"/>
          <w:szCs w:val="21"/>
        </w:rPr>
        <w:t>号）的规定，本公司（联合体）参加</w:t>
      </w:r>
      <w:r>
        <w:rPr>
          <w:szCs w:val="21"/>
        </w:rPr>
        <w:t>(</w:t>
      </w:r>
      <w:r>
        <w:rPr>
          <w:rFonts w:hint="eastAsia"/>
          <w:szCs w:val="21"/>
        </w:rPr>
        <w:t>采购单位名称全称</w:t>
      </w:r>
      <w:r>
        <w:rPr>
          <w:szCs w:val="21"/>
        </w:rPr>
        <w:t>)</w:t>
      </w:r>
      <w:r>
        <w:rPr>
          <w:rFonts w:hint="eastAsia"/>
          <w:szCs w:val="21"/>
        </w:rPr>
        <w:t>的（项目名称全称）采购活动，</w:t>
      </w:r>
      <w:r>
        <w:rPr>
          <w:szCs w:val="21"/>
        </w:rPr>
        <w:t>________________________</w:t>
      </w:r>
      <w:r>
        <w:rPr>
          <w:rFonts w:hint="eastAsia"/>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jc w:val="left"/>
        <w:rPr>
          <w:szCs w:val="21"/>
        </w:rPr>
      </w:pPr>
      <w:r>
        <w:rPr>
          <w:szCs w:val="21"/>
        </w:rPr>
        <w:t>1.</w:t>
      </w:r>
      <w:r>
        <w:rPr>
          <w:rFonts w:hint="eastAsia"/>
          <w:szCs w:val="21"/>
        </w:rPr>
        <w:t>（标的名称），属于（采购文件中明确的所属行业）；承建（承接）企业为（企业名称），从业人员</w:t>
      </w:r>
      <w:r>
        <w:rPr>
          <w:szCs w:val="21"/>
        </w:rPr>
        <w:t>____</w:t>
      </w:r>
      <w:r>
        <w:rPr>
          <w:rFonts w:hint="eastAsia"/>
          <w:szCs w:val="21"/>
        </w:rPr>
        <w:t>人，营业收入为</w:t>
      </w:r>
      <w:r>
        <w:rPr>
          <w:szCs w:val="21"/>
        </w:rPr>
        <w:t>____</w:t>
      </w:r>
      <w:r>
        <w:rPr>
          <w:rFonts w:hint="eastAsia"/>
          <w:szCs w:val="21"/>
        </w:rPr>
        <w:t>万元，资产总额为</w:t>
      </w:r>
      <w:r>
        <w:rPr>
          <w:szCs w:val="21"/>
        </w:rPr>
        <w:t>____</w:t>
      </w:r>
      <w:r>
        <w:rPr>
          <w:rFonts w:hint="eastAsia"/>
          <w:szCs w:val="21"/>
        </w:rPr>
        <w:t>万元</w:t>
      </w:r>
      <w:r>
        <w:rPr>
          <w:szCs w:val="21"/>
        </w:rPr>
        <w:t>1</w:t>
      </w:r>
      <w:r>
        <w:rPr>
          <w:rFonts w:hint="eastAsia"/>
          <w:szCs w:val="21"/>
        </w:rPr>
        <w:t>，属于（中型企业、小型企业、微型企业）；</w:t>
      </w:r>
    </w:p>
    <w:p>
      <w:pPr>
        <w:spacing w:line="240" w:lineRule="auto"/>
        <w:ind w:firstLine="420" w:firstLineChars="200"/>
        <w:jc w:val="left"/>
        <w:rPr>
          <w:szCs w:val="21"/>
        </w:rPr>
      </w:pPr>
      <w:r>
        <w:rPr>
          <w:szCs w:val="21"/>
        </w:rPr>
        <w:t>2.</w:t>
      </w:r>
      <w:r>
        <w:rPr>
          <w:rFonts w:hint="eastAsia"/>
          <w:szCs w:val="21"/>
        </w:rPr>
        <w:t>（标的名称），属于（采购文件中明确的所属行业）；承建（承接）企业为（企业名称），从业人员</w:t>
      </w:r>
      <w:r>
        <w:rPr>
          <w:szCs w:val="21"/>
        </w:rPr>
        <w:t>____</w:t>
      </w:r>
      <w:r>
        <w:rPr>
          <w:rFonts w:hint="eastAsia"/>
          <w:szCs w:val="21"/>
        </w:rPr>
        <w:t>人，营业收入为</w:t>
      </w:r>
      <w:r>
        <w:rPr>
          <w:szCs w:val="21"/>
        </w:rPr>
        <w:t>____</w:t>
      </w:r>
      <w:r>
        <w:rPr>
          <w:rFonts w:hint="eastAsia"/>
          <w:szCs w:val="21"/>
        </w:rPr>
        <w:t>万元，资产总额为</w:t>
      </w:r>
      <w:r>
        <w:rPr>
          <w:szCs w:val="21"/>
        </w:rPr>
        <w:t>____</w:t>
      </w:r>
      <w:r>
        <w:rPr>
          <w:rFonts w:hint="eastAsia"/>
          <w:szCs w:val="21"/>
        </w:rPr>
        <w:t>万元，属于（中型企业、小型企业、微型企业）；</w:t>
      </w:r>
    </w:p>
    <w:p>
      <w:pPr>
        <w:spacing w:line="240" w:lineRule="auto"/>
        <w:ind w:firstLine="420" w:firstLineChars="200"/>
        <w:jc w:val="left"/>
        <w:rPr>
          <w:szCs w:val="21"/>
        </w:rPr>
      </w:pPr>
      <w:r>
        <w:rPr>
          <w:rFonts w:hint="eastAsia"/>
          <w:szCs w:val="21"/>
        </w:rPr>
        <w:t>……</w:t>
      </w:r>
    </w:p>
    <w:p>
      <w:pPr>
        <w:spacing w:line="240" w:lineRule="auto"/>
        <w:ind w:firstLine="420" w:firstLineChars="200"/>
        <w:jc w:val="left"/>
        <w:rPr>
          <w:szCs w:val="21"/>
        </w:rPr>
      </w:pPr>
      <w:r>
        <w:rPr>
          <w:rFonts w:hint="eastAsia"/>
          <w:szCs w:val="21"/>
        </w:rPr>
        <w:t>以上企业，不属于大企业的分支机构，不存在控股股东为大企业的情形，也不存在与大企业的负责人为同一人的情形。</w:t>
      </w:r>
    </w:p>
    <w:p>
      <w:pPr>
        <w:spacing w:line="240" w:lineRule="auto"/>
        <w:ind w:firstLine="420" w:firstLineChars="200"/>
        <w:jc w:val="left"/>
        <w:rPr>
          <w:szCs w:val="21"/>
        </w:rPr>
      </w:pPr>
      <w:r>
        <w:rPr>
          <w:rFonts w:hint="eastAsia"/>
          <w:szCs w:val="21"/>
        </w:rPr>
        <w:t>本企业对上述声明内容的真实性负责。如有虚假，将依法承担相应责任。</w:t>
      </w:r>
    </w:p>
    <w:p>
      <w:pPr>
        <w:spacing w:line="240" w:lineRule="auto"/>
        <w:ind w:firstLine="420" w:firstLineChars="200"/>
        <w:jc w:val="left"/>
        <w:rPr>
          <w:szCs w:val="21"/>
        </w:rPr>
      </w:pPr>
    </w:p>
    <w:p>
      <w:pPr>
        <w:spacing w:line="240" w:lineRule="auto"/>
        <w:ind w:firstLine="420" w:firstLineChars="200"/>
        <w:jc w:val="left"/>
        <w:rPr>
          <w:szCs w:val="21"/>
        </w:rPr>
      </w:pPr>
      <w:r>
        <w:rPr>
          <w:rFonts w:hint="eastAsia"/>
          <w:szCs w:val="21"/>
        </w:rPr>
        <w:t>企业名称（盖章）：</w:t>
      </w:r>
    </w:p>
    <w:p>
      <w:pPr>
        <w:spacing w:line="240" w:lineRule="auto"/>
        <w:ind w:firstLine="420" w:firstLineChars="200"/>
        <w:jc w:val="left"/>
        <w:rPr>
          <w:szCs w:val="21"/>
        </w:rPr>
      </w:pPr>
      <w:r>
        <w:rPr>
          <w:rFonts w:hint="eastAsia"/>
          <w:szCs w:val="21"/>
        </w:rPr>
        <w:t>日期：</w:t>
      </w:r>
    </w:p>
    <w:p>
      <w:pPr>
        <w:spacing w:line="240" w:lineRule="auto"/>
        <w:ind w:firstLine="420" w:firstLineChars="200"/>
        <w:jc w:val="left"/>
        <w:rPr>
          <w:szCs w:val="21"/>
        </w:rPr>
      </w:pPr>
    </w:p>
    <w:p>
      <w:pPr>
        <w:spacing w:line="240" w:lineRule="auto"/>
        <w:ind w:firstLine="420" w:firstLineChars="200"/>
        <w:jc w:val="left"/>
        <w:rPr>
          <w:szCs w:val="21"/>
        </w:rPr>
      </w:pPr>
      <w:r>
        <w:rPr>
          <w:rFonts w:hint="eastAsia"/>
          <w:szCs w:val="21"/>
        </w:rPr>
        <w:t>备注：</w:t>
      </w:r>
      <w:r>
        <w:rPr>
          <w:szCs w:val="21"/>
        </w:rPr>
        <w:t>1</w:t>
      </w:r>
      <w:r>
        <w:rPr>
          <w:rFonts w:hint="eastAsia"/>
          <w:szCs w:val="21"/>
        </w:rPr>
        <w:t>、从业人员、营业收入、资产总额填报上一年度数据，无上一年度数据的新成立企业可不填报。</w:t>
      </w:r>
    </w:p>
    <w:p>
      <w:pPr>
        <w:spacing w:line="240" w:lineRule="auto"/>
        <w:ind w:firstLine="420" w:firstLineChars="200"/>
        <w:jc w:val="right"/>
        <w:rPr>
          <w:szCs w:val="21"/>
        </w:rPr>
      </w:pPr>
    </w:p>
    <w:p>
      <w:pPr>
        <w:spacing w:line="240" w:lineRule="auto"/>
        <w:ind w:firstLine="420" w:firstLineChars="200"/>
        <w:jc w:val="right"/>
        <w:rPr>
          <w:szCs w:val="21"/>
        </w:rPr>
      </w:pPr>
    </w:p>
    <w:p>
      <w:pPr>
        <w:spacing w:line="240" w:lineRule="auto"/>
        <w:ind w:firstLine="643" w:firstLineChars="200"/>
        <w:jc w:val="center"/>
        <w:rPr>
          <w:b/>
          <w:sz w:val="32"/>
          <w:szCs w:val="32"/>
        </w:rPr>
      </w:pPr>
    </w:p>
    <w:p>
      <w:pPr>
        <w:spacing w:line="240" w:lineRule="auto"/>
        <w:ind w:firstLine="643" w:firstLineChars="200"/>
        <w:jc w:val="center"/>
        <w:rPr>
          <w:b/>
          <w:sz w:val="32"/>
          <w:szCs w:val="32"/>
        </w:rPr>
      </w:pPr>
      <w:r>
        <w:rPr>
          <w:rFonts w:hint="eastAsia"/>
          <w:b/>
          <w:sz w:val="32"/>
          <w:szCs w:val="32"/>
        </w:rPr>
        <w:t>（二）残疾人福利性单位声明函（样表）</w:t>
      </w:r>
    </w:p>
    <w:p>
      <w:pPr>
        <w:spacing w:line="240" w:lineRule="auto"/>
        <w:ind w:firstLine="420" w:firstLineChars="200"/>
        <w:rPr>
          <w:szCs w:val="21"/>
        </w:rPr>
      </w:pPr>
    </w:p>
    <w:p>
      <w:pPr>
        <w:spacing w:line="240" w:lineRule="auto"/>
        <w:ind w:firstLine="420" w:firstLineChars="200"/>
        <w:rPr>
          <w:szCs w:val="21"/>
        </w:rPr>
      </w:pPr>
      <w:r>
        <w:rPr>
          <w:rFonts w:hint="eastAsia"/>
          <w:szCs w:val="21"/>
        </w:rPr>
        <w:t>本单位已知悉《关于促进残疾人就业政府采购政策的通知》（财库〔</w:t>
      </w:r>
      <w:r>
        <w:rPr>
          <w:szCs w:val="21"/>
        </w:rPr>
        <w:t>2017</w:t>
      </w:r>
      <w:r>
        <w:rPr>
          <w:rFonts w:hint="eastAsia"/>
          <w:szCs w:val="21"/>
        </w:rPr>
        <w:t>〕</w:t>
      </w:r>
      <w:r>
        <w:rPr>
          <w:szCs w:val="21"/>
        </w:rPr>
        <w:t>141</w:t>
      </w:r>
      <w:r>
        <w:rPr>
          <w:rFonts w:hint="eastAsia"/>
          <w:szCs w:val="21"/>
        </w:rPr>
        <w:t>号）的规定，承诺提供的声明函内容是真实的，如提供声明函内容不实，则依法追究相关法律责任。</w:t>
      </w:r>
    </w:p>
    <w:p>
      <w:pPr>
        <w:spacing w:line="240" w:lineRule="auto"/>
        <w:ind w:firstLine="420" w:firstLineChars="200"/>
        <w:rPr>
          <w:szCs w:val="21"/>
        </w:rPr>
      </w:pPr>
      <w:r>
        <w:rPr>
          <w:rFonts w:hint="eastAsia"/>
          <w:szCs w:val="21"/>
        </w:rPr>
        <w:t>本单位郑重声明，根据《财政部民政部中国残疾人联合会关于促进残疾人就业政府采购政策的通知》（财库〔</w:t>
      </w:r>
      <w:r>
        <w:rPr>
          <w:szCs w:val="21"/>
        </w:rPr>
        <w:t>2017</w:t>
      </w:r>
      <w:r>
        <w:rPr>
          <w:rFonts w:hint="eastAsia"/>
          <w:szCs w:val="21"/>
        </w:rPr>
        <w:t>〕</w:t>
      </w:r>
      <w:r>
        <w:rPr>
          <w:szCs w:val="21"/>
        </w:rPr>
        <w:t>141</w:t>
      </w:r>
      <w:r>
        <w:rPr>
          <w:szCs w:val="21"/>
          <w:u w:val="single"/>
        </w:rPr>
        <w:t>_</w:t>
      </w:r>
      <w:r>
        <w:rPr>
          <w:rFonts w:hint="eastAsia"/>
          <w:szCs w:val="21"/>
        </w:rPr>
        <w:t>号）的规定，本单位为符合条件的残疾人福利性单位，且本单位参加</w:t>
      </w:r>
      <w:r>
        <w:rPr>
          <w:szCs w:val="21"/>
          <w:u w:val="single"/>
        </w:rPr>
        <w:t>_</w:t>
      </w:r>
      <w:r>
        <w:rPr>
          <w:rFonts w:hint="eastAsia"/>
          <w:szCs w:val="21"/>
        </w:rPr>
        <w:t>（采购单位名称）</w:t>
      </w:r>
      <w:r>
        <w:rPr>
          <w:szCs w:val="21"/>
          <w:u w:val="single"/>
        </w:rPr>
        <w:t>_</w:t>
      </w:r>
      <w:r>
        <w:rPr>
          <w:rFonts w:hint="eastAsia"/>
          <w:szCs w:val="21"/>
        </w:rPr>
        <w:t>单位的</w:t>
      </w:r>
      <w:r>
        <w:rPr>
          <w:szCs w:val="21"/>
          <w:u w:val="single"/>
        </w:rPr>
        <w:t>_</w:t>
      </w:r>
      <w:r>
        <w:rPr>
          <w:rFonts w:hint="eastAsia"/>
          <w:szCs w:val="21"/>
        </w:rPr>
        <w:t>（采购项目名称）项目采购活动，并提供：□本单位制造的货物</w:t>
      </w:r>
      <w:r>
        <w:rPr>
          <w:szCs w:val="21"/>
        </w:rPr>
        <w:t>;</w:t>
      </w:r>
      <w:r>
        <w:rPr>
          <w:rFonts w:hint="eastAsia"/>
          <w:szCs w:val="21"/>
        </w:rPr>
        <w:t>□由本单位承担的工程、提供服务</w:t>
      </w:r>
      <w:r>
        <w:rPr>
          <w:szCs w:val="21"/>
        </w:rPr>
        <w:t>;</w:t>
      </w:r>
      <w:r>
        <w:rPr>
          <w:rFonts w:hint="eastAsia"/>
          <w:szCs w:val="21"/>
        </w:rPr>
        <w:t>□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szCs w:val="21"/>
        </w:rPr>
      </w:pPr>
      <w:r>
        <w:rPr>
          <w:rFonts w:hint="eastAsia"/>
          <w:szCs w:val="21"/>
        </w:rPr>
        <w:t>单位名称（盖章）：</w:t>
      </w:r>
      <w:r>
        <w:rPr>
          <w:szCs w:val="21"/>
          <w:u w:val="single"/>
        </w:rPr>
        <w:t>__________________</w:t>
      </w:r>
    </w:p>
    <w:p>
      <w:pPr>
        <w:spacing w:line="240" w:lineRule="auto"/>
        <w:ind w:firstLine="420" w:firstLineChars="200"/>
        <w:jc w:val="right"/>
        <w:rPr>
          <w:szCs w:val="21"/>
        </w:rPr>
      </w:pPr>
      <w:r>
        <w:rPr>
          <w:rFonts w:hint="eastAsia"/>
          <w:szCs w:val="21"/>
        </w:rPr>
        <w:t>日期：</w:t>
      </w:r>
      <w:r>
        <w:rPr>
          <w:szCs w:val="21"/>
          <w:u w:val="single"/>
        </w:rPr>
        <w:t>_________________</w:t>
      </w:r>
    </w:p>
    <w:p>
      <w:pPr>
        <w:spacing w:line="240" w:lineRule="auto"/>
        <w:ind w:firstLine="420" w:firstLineChars="200"/>
        <w:jc w:val="right"/>
        <w:rPr>
          <w:szCs w:val="21"/>
        </w:rPr>
      </w:pPr>
    </w:p>
    <w:p>
      <w:pPr>
        <w:spacing w:line="240" w:lineRule="auto"/>
        <w:ind w:firstLine="420" w:firstLineChars="200"/>
        <w:jc w:val="right"/>
        <w:rPr>
          <w:szCs w:val="21"/>
        </w:rPr>
      </w:pPr>
    </w:p>
    <w:p>
      <w:pPr>
        <w:spacing w:line="240" w:lineRule="auto"/>
        <w:ind w:firstLine="420" w:firstLineChars="200"/>
        <w:jc w:val="right"/>
        <w:rPr>
          <w:szCs w:val="21"/>
        </w:rPr>
      </w:pPr>
    </w:p>
    <w:p>
      <w:pPr>
        <w:spacing w:line="240" w:lineRule="auto"/>
        <w:rPr>
          <w:b/>
          <w:sz w:val="32"/>
          <w:szCs w:val="32"/>
        </w:rPr>
      </w:pPr>
      <w:r>
        <w:rPr>
          <w:rFonts w:hint="eastAsia"/>
          <w:b/>
          <w:sz w:val="32"/>
          <w:szCs w:val="32"/>
        </w:rPr>
        <w:t>（三）省级以上监狱管理局、戒毒管理局（含新疆生产建设兵团）出具的属于监狱企业的证明文件（样表）</w:t>
      </w:r>
    </w:p>
    <w:p>
      <w:pPr>
        <w:spacing w:line="240" w:lineRule="auto"/>
        <w:ind w:firstLine="420" w:firstLineChars="200"/>
        <w:rPr>
          <w:szCs w:val="21"/>
        </w:rPr>
      </w:pPr>
    </w:p>
    <w:p>
      <w:pPr>
        <w:spacing w:line="240" w:lineRule="auto"/>
        <w:ind w:firstLine="420" w:firstLineChars="200"/>
        <w:rPr>
          <w:szCs w:val="21"/>
        </w:rPr>
      </w:pPr>
      <w:r>
        <w:rPr>
          <w:rFonts w:hint="eastAsia"/>
          <w:szCs w:val="21"/>
        </w:rPr>
        <w:t>本单位已知悉《财政部司法部关于政府采购支持监狱企业发展有关问题的通知》（财库〔</w:t>
      </w:r>
      <w:r>
        <w:rPr>
          <w:szCs w:val="21"/>
        </w:rPr>
        <w:t>2014</w:t>
      </w:r>
      <w:r>
        <w:rPr>
          <w:rFonts w:hint="eastAsia"/>
          <w:szCs w:val="21"/>
        </w:rPr>
        <w:t>〕</w:t>
      </w:r>
      <w:r>
        <w:rPr>
          <w:szCs w:val="21"/>
        </w:rPr>
        <w:t>68</w:t>
      </w:r>
      <w:r>
        <w:rPr>
          <w:rFonts w:hint="eastAsia"/>
          <w:szCs w:val="21"/>
        </w:rPr>
        <w:t>号）的规定，承诺提供的声明函内容是真实的，如提供声明函内容不实，则依法追究相关法律责任。</w:t>
      </w:r>
    </w:p>
    <w:p>
      <w:pPr>
        <w:spacing w:line="240" w:lineRule="auto"/>
        <w:ind w:firstLine="420" w:firstLineChars="200"/>
        <w:rPr>
          <w:szCs w:val="21"/>
        </w:rPr>
      </w:pPr>
      <w:r>
        <w:rPr>
          <w:rFonts w:hint="eastAsia"/>
          <w:szCs w:val="21"/>
        </w:rPr>
        <w:t>本单位郑重声明，根据《财政部司法部关于政府采购支持监狱企业发展有关问题的通知》（财库〔</w:t>
      </w:r>
      <w:r>
        <w:rPr>
          <w:szCs w:val="21"/>
        </w:rPr>
        <w:t>2014</w:t>
      </w:r>
      <w:r>
        <w:rPr>
          <w:rFonts w:hint="eastAsia"/>
          <w:szCs w:val="21"/>
        </w:rPr>
        <w:t>〕</w:t>
      </w:r>
      <w:r>
        <w:rPr>
          <w:szCs w:val="21"/>
        </w:rPr>
        <w:t>68</w:t>
      </w:r>
      <w:r>
        <w:rPr>
          <w:rFonts w:hint="eastAsia"/>
          <w:szCs w:val="21"/>
        </w:rPr>
        <w:t>号）的规定，本单位为符合条件的监狱企业，且本单位参加</w:t>
      </w:r>
      <w:r>
        <w:rPr>
          <w:szCs w:val="21"/>
          <w:u w:val="single"/>
        </w:rPr>
        <w:t>_</w:t>
      </w:r>
      <w:r>
        <w:rPr>
          <w:rFonts w:hint="eastAsia"/>
          <w:szCs w:val="21"/>
        </w:rPr>
        <w:t>（采购单位名称）</w:t>
      </w:r>
      <w:r>
        <w:rPr>
          <w:szCs w:val="21"/>
          <w:u w:val="single"/>
        </w:rPr>
        <w:t>_</w:t>
      </w:r>
      <w:r>
        <w:rPr>
          <w:rFonts w:hint="eastAsia"/>
          <w:szCs w:val="21"/>
        </w:rPr>
        <w:t>单位的（采购项目名称）项目采购活动，并提供：□本单位制造的货物</w:t>
      </w:r>
      <w:r>
        <w:rPr>
          <w:szCs w:val="21"/>
        </w:rPr>
        <w:t>;</w:t>
      </w:r>
      <w:r>
        <w:rPr>
          <w:rFonts w:hint="eastAsia"/>
          <w:szCs w:val="21"/>
        </w:rPr>
        <w:t>□由本单位承担的工程、提供服务</w:t>
      </w:r>
      <w:r>
        <w:rPr>
          <w:szCs w:val="21"/>
        </w:rPr>
        <w:t>;</w:t>
      </w:r>
      <w:r>
        <w:rPr>
          <w:rFonts w:hint="eastAsia"/>
          <w:szCs w:val="21"/>
        </w:rPr>
        <w:t>□提供其他监狱企业制造的货物（承诺人在□处打√）。本条所称货物是指单一产品采购项目中的货物，或者非单一产品采购项目中的核心产品（货物）。</w:t>
      </w:r>
    </w:p>
    <w:p>
      <w:pPr>
        <w:spacing w:line="240" w:lineRule="auto"/>
        <w:ind w:firstLine="420" w:firstLineChars="200"/>
        <w:rPr>
          <w:szCs w:val="21"/>
        </w:rPr>
      </w:pPr>
      <w:r>
        <w:rPr>
          <w:rFonts w:hint="eastAsia"/>
          <w:szCs w:val="21"/>
        </w:rPr>
        <w:t>本单位对上述声明的真实性负责。如有虚假，将依法承担相应责任。</w:t>
      </w:r>
    </w:p>
    <w:p>
      <w:pPr>
        <w:spacing w:line="240" w:lineRule="auto"/>
        <w:ind w:firstLine="420" w:firstLineChars="200"/>
        <w:rPr>
          <w:szCs w:val="21"/>
        </w:rPr>
      </w:pPr>
      <w:r>
        <w:rPr>
          <w:rFonts w:hint="eastAsia"/>
          <w:szCs w:val="21"/>
        </w:rPr>
        <w:t>附：省级以上监狱管理局、戒毒管理局（含新疆生产建设兵团）出具的监狱企业证明文件。</w:t>
      </w:r>
    </w:p>
    <w:p>
      <w:pPr>
        <w:spacing w:line="240" w:lineRule="auto"/>
        <w:ind w:firstLine="420" w:firstLineChars="200"/>
        <w:jc w:val="right"/>
        <w:rPr>
          <w:szCs w:val="21"/>
        </w:rPr>
      </w:pPr>
      <w:r>
        <w:rPr>
          <w:rFonts w:hint="eastAsia"/>
          <w:szCs w:val="21"/>
        </w:rPr>
        <w:t>单位名称（盖章）：</w:t>
      </w:r>
      <w:r>
        <w:rPr>
          <w:szCs w:val="21"/>
          <w:u w:val="single"/>
        </w:rPr>
        <w:t>__________________</w:t>
      </w:r>
    </w:p>
    <w:p>
      <w:pPr>
        <w:spacing w:line="240" w:lineRule="auto"/>
        <w:ind w:firstLine="420" w:firstLineChars="200"/>
        <w:jc w:val="right"/>
        <w:rPr>
          <w:szCs w:val="21"/>
        </w:rPr>
      </w:pPr>
      <w:r>
        <w:rPr>
          <w:rFonts w:hint="eastAsia"/>
          <w:szCs w:val="21"/>
        </w:rPr>
        <w:t>日期：</w:t>
      </w:r>
      <w:r>
        <w:rPr>
          <w:szCs w:val="21"/>
          <w:u w:val="single"/>
        </w:rPr>
        <w:t>_________________</w:t>
      </w:r>
    </w:p>
    <w:p>
      <w:pPr>
        <w:spacing w:line="240" w:lineRule="auto"/>
        <w:ind w:firstLine="420" w:firstLineChars="200"/>
        <w:jc w:val="right"/>
        <w:rPr>
          <w:szCs w:val="21"/>
        </w:rPr>
      </w:pPr>
    </w:p>
    <w:p>
      <w:pPr>
        <w:spacing w:line="240" w:lineRule="auto"/>
        <w:ind w:firstLine="420" w:firstLineChars="200"/>
        <w:jc w:val="right"/>
        <w:rPr>
          <w:szCs w:val="21"/>
        </w:rPr>
      </w:pPr>
    </w:p>
    <w:p>
      <w:pPr>
        <w:spacing w:line="240" w:lineRule="auto"/>
        <w:ind w:firstLine="420" w:firstLineChars="200"/>
        <w:jc w:val="right"/>
        <w:rPr>
          <w:szCs w:val="21"/>
        </w:rPr>
      </w:pPr>
    </w:p>
    <w:p>
      <w:pPr>
        <w:spacing w:line="240" w:lineRule="auto"/>
        <w:ind w:firstLine="643" w:firstLineChars="200"/>
        <w:jc w:val="center"/>
        <w:rPr>
          <w:b/>
          <w:sz w:val="32"/>
          <w:szCs w:val="32"/>
        </w:rPr>
      </w:pPr>
      <w:r>
        <w:rPr>
          <w:rFonts w:hint="eastAsia"/>
          <w:b/>
          <w:sz w:val="32"/>
          <w:szCs w:val="32"/>
        </w:rPr>
        <w:t>（四）含有小型、微型企业的联合体声明函（样表）</w:t>
      </w:r>
    </w:p>
    <w:p>
      <w:pPr>
        <w:spacing w:line="240" w:lineRule="auto"/>
        <w:ind w:firstLine="420" w:firstLineChars="200"/>
        <w:rPr>
          <w:szCs w:val="21"/>
        </w:rPr>
      </w:pPr>
    </w:p>
    <w:p>
      <w:pPr>
        <w:spacing w:line="240" w:lineRule="auto"/>
        <w:ind w:firstLine="420" w:firstLineChars="200"/>
        <w:rPr>
          <w:szCs w:val="21"/>
        </w:rPr>
      </w:pPr>
      <w:r>
        <w:rPr>
          <w:szCs w:val="21"/>
        </w:rPr>
        <w:t>1.</w:t>
      </w:r>
      <w:r>
        <w:rPr>
          <w:szCs w:val="21"/>
          <w:u w:val="single"/>
        </w:rPr>
        <w:t>___</w:t>
      </w:r>
      <w:r>
        <w:rPr>
          <w:rFonts w:hint="eastAsia"/>
          <w:szCs w:val="21"/>
        </w:rPr>
        <w:t>（供应商名称、供应商名称）</w:t>
      </w:r>
      <w:r>
        <w:rPr>
          <w:szCs w:val="21"/>
          <w:u w:val="single"/>
        </w:rPr>
        <w:t>____</w:t>
      </w:r>
      <w:r>
        <w:rPr>
          <w:rFonts w:hint="eastAsia"/>
          <w:szCs w:val="21"/>
        </w:rPr>
        <w:t>共同组成联合体（详见联合体协议）。根据《工业和信息化部、国家统计局、国家发展和改革委员会、财政部关于印发中小企业划型标准规定的通知》（工信部联企业〔</w:t>
      </w:r>
      <w:r>
        <w:rPr>
          <w:szCs w:val="21"/>
        </w:rPr>
        <w:t>2011</w:t>
      </w:r>
      <w:r>
        <w:rPr>
          <w:rFonts w:hint="eastAsia"/>
          <w:szCs w:val="21"/>
        </w:rPr>
        <w:t>〕</w:t>
      </w:r>
      <w:r>
        <w:rPr>
          <w:szCs w:val="21"/>
        </w:rPr>
        <w:t>300</w:t>
      </w:r>
      <w:r>
        <w:rPr>
          <w:szCs w:val="21"/>
          <w:u w:val="single"/>
        </w:rPr>
        <w:t>_</w:t>
      </w:r>
      <w:r>
        <w:rPr>
          <w:rFonts w:hint="eastAsia"/>
          <w:szCs w:val="21"/>
        </w:rPr>
        <w:t>号）规定的划分标准，本联合体中：□</w:t>
      </w:r>
      <w:r>
        <w:rPr>
          <w:szCs w:val="21"/>
          <w:u w:val="single"/>
        </w:rPr>
        <w:t>______</w:t>
      </w:r>
      <w:r>
        <w:rPr>
          <w:rFonts w:hint="eastAsia"/>
          <w:szCs w:val="21"/>
        </w:rPr>
        <w:t>单位为</w:t>
      </w:r>
      <w:r>
        <w:rPr>
          <w:szCs w:val="21"/>
          <w:u w:val="single"/>
        </w:rPr>
        <w:t>______</w:t>
      </w:r>
      <w:r>
        <w:rPr>
          <w:rFonts w:hint="eastAsia"/>
          <w:szCs w:val="21"/>
        </w:rPr>
        <w:t>（请填写：中型、小型、微型）企业，</w:t>
      </w:r>
      <w:r>
        <w:rPr>
          <w:szCs w:val="21"/>
          <w:u w:val="single"/>
        </w:rPr>
        <w:t>______</w:t>
      </w:r>
      <w:r>
        <w:rPr>
          <w:rFonts w:hint="eastAsia"/>
          <w:szCs w:val="21"/>
        </w:rPr>
        <w:t>单位为</w:t>
      </w:r>
      <w:r>
        <w:rPr>
          <w:szCs w:val="21"/>
          <w:u w:val="single"/>
        </w:rPr>
        <w:t>______</w:t>
      </w:r>
      <w:r>
        <w:rPr>
          <w:rFonts w:hint="eastAsia"/>
          <w:szCs w:val="21"/>
        </w:rPr>
        <w:t>（请填写：中型、小型、微型）企业；□联合体各方均为小微企业（承诺人在□处打√）。</w:t>
      </w:r>
    </w:p>
    <w:p>
      <w:pPr>
        <w:spacing w:line="240" w:lineRule="auto"/>
        <w:ind w:firstLine="420" w:firstLineChars="200"/>
        <w:rPr>
          <w:szCs w:val="21"/>
        </w:rPr>
      </w:pPr>
      <w:r>
        <w:rPr>
          <w:szCs w:val="21"/>
        </w:rPr>
        <w:t>2.</w:t>
      </w:r>
      <w:r>
        <w:rPr>
          <w:rFonts w:hint="eastAsia"/>
          <w:szCs w:val="21"/>
        </w:rPr>
        <w:t>本联合体参加</w:t>
      </w:r>
      <w:r>
        <w:rPr>
          <w:szCs w:val="21"/>
          <w:u w:val="single"/>
        </w:rPr>
        <w:t>_</w:t>
      </w:r>
      <w:r>
        <w:rPr>
          <w:rFonts w:hint="eastAsia"/>
          <w:szCs w:val="21"/>
        </w:rPr>
        <w:t>（采购单位名称）</w:t>
      </w:r>
      <w:r>
        <w:rPr>
          <w:szCs w:val="21"/>
          <w:u w:val="single"/>
        </w:rPr>
        <w:t>_</w:t>
      </w:r>
      <w:r>
        <w:rPr>
          <w:rFonts w:hint="eastAsia"/>
          <w:szCs w:val="21"/>
        </w:rPr>
        <w:t>单位的</w:t>
      </w:r>
      <w:r>
        <w:rPr>
          <w:szCs w:val="21"/>
          <w:u w:val="single"/>
        </w:rPr>
        <w:t>_</w:t>
      </w:r>
      <w:r>
        <w:rPr>
          <w:rFonts w:hint="eastAsia"/>
          <w:szCs w:val="21"/>
        </w:rPr>
        <w:t>（采购项目名称）</w:t>
      </w:r>
      <w:r>
        <w:rPr>
          <w:szCs w:val="21"/>
          <w:u w:val="single"/>
        </w:rPr>
        <w:t>_</w:t>
      </w:r>
      <w:r>
        <w:rPr>
          <w:rFonts w:hint="eastAsia"/>
          <w:szCs w:val="21"/>
        </w:rPr>
        <w:t>项目采购活动，其中，小型、微型企业协议合同金额占到联合体协议总金额比例为</w:t>
      </w:r>
      <w:r>
        <w:rPr>
          <w:szCs w:val="21"/>
          <w:u w:val="single"/>
        </w:rPr>
        <w:t>_____</w:t>
      </w:r>
      <w:r>
        <w:rPr>
          <w:szCs w:val="21"/>
        </w:rPr>
        <w:t>%</w:t>
      </w:r>
      <w:r>
        <w:rPr>
          <w:rFonts w:hint="eastAsia"/>
          <w:szCs w:val="21"/>
        </w:rPr>
        <w:t>（该合同金额为：□小微企业制造的货物，□小微企业承担的工程、提供服务，□提供其他小微企业制造的货物；不包括使用大型企业注册商标的货物；请承诺人在□处打√），符合《政府采购促进中小企业发展暂行办法》</w:t>
      </w:r>
      <w:r>
        <w:rPr>
          <w:szCs w:val="21"/>
        </w:rPr>
        <w:t>(</w:t>
      </w:r>
      <w:r>
        <w:rPr>
          <w:rFonts w:hint="eastAsia"/>
          <w:szCs w:val="21"/>
        </w:rPr>
        <w:t>财库〔</w:t>
      </w:r>
      <w:r>
        <w:rPr>
          <w:szCs w:val="21"/>
        </w:rPr>
        <w:t>2011</w:t>
      </w:r>
      <w:r>
        <w:rPr>
          <w:rFonts w:hint="eastAsia"/>
          <w:szCs w:val="21"/>
        </w:rPr>
        <w:t>〕</w:t>
      </w:r>
      <w:r>
        <w:rPr>
          <w:szCs w:val="21"/>
        </w:rPr>
        <w:t>181</w:t>
      </w:r>
      <w:r>
        <w:rPr>
          <w:szCs w:val="21"/>
          <w:u w:val="single"/>
        </w:rPr>
        <w:t>_</w:t>
      </w:r>
      <w:r>
        <w:rPr>
          <w:rFonts w:hint="eastAsia"/>
          <w:szCs w:val="21"/>
        </w:rPr>
        <w:t>号</w:t>
      </w:r>
      <w:r>
        <w:rPr>
          <w:szCs w:val="21"/>
        </w:rPr>
        <w:t>)</w:t>
      </w:r>
      <w:r>
        <w:rPr>
          <w:rFonts w:hint="eastAsia"/>
          <w:szCs w:val="21"/>
        </w:rPr>
        <w:t>第六条规定的优惠政策。本联合体对上述声明的真实性负责。如有虚假，将依法承担相应责任。</w:t>
      </w:r>
    </w:p>
    <w:p>
      <w:pPr>
        <w:spacing w:line="240" w:lineRule="auto"/>
        <w:ind w:left="424" w:leftChars="202"/>
        <w:jc w:val="left"/>
        <w:rPr>
          <w:szCs w:val="21"/>
        </w:rPr>
      </w:pPr>
      <w:r>
        <w:rPr>
          <w:rFonts w:hint="eastAsia"/>
          <w:szCs w:val="21"/>
        </w:rPr>
        <w:t>企业</w:t>
      </w:r>
      <w:r>
        <w:rPr>
          <w:szCs w:val="21"/>
        </w:rPr>
        <w:t>1</w:t>
      </w:r>
      <w:r>
        <w:rPr>
          <w:rFonts w:hint="eastAsia"/>
          <w:szCs w:val="21"/>
        </w:rPr>
        <w:t>名称（盖章）：</w:t>
      </w:r>
      <w:r>
        <w:rPr>
          <w:szCs w:val="21"/>
          <w:u w:val="single"/>
        </w:rPr>
        <w:t>_______________________</w:t>
      </w:r>
      <w:r>
        <w:rPr>
          <w:szCs w:val="21"/>
        </w:rPr>
        <w:t xml:space="preserve"> </w:t>
      </w:r>
    </w:p>
    <w:p>
      <w:pPr>
        <w:spacing w:line="240" w:lineRule="auto"/>
        <w:ind w:left="424" w:leftChars="202"/>
        <w:jc w:val="left"/>
        <w:rPr>
          <w:szCs w:val="21"/>
        </w:rPr>
      </w:pPr>
      <w:r>
        <w:rPr>
          <w:rFonts w:hint="eastAsia"/>
          <w:szCs w:val="21"/>
        </w:rPr>
        <w:t>日期：</w:t>
      </w:r>
      <w:r>
        <w:rPr>
          <w:szCs w:val="21"/>
          <w:u w:val="single"/>
        </w:rPr>
        <w:t>_____________________________________</w:t>
      </w:r>
      <w:r>
        <w:rPr>
          <w:szCs w:val="21"/>
        </w:rPr>
        <w:t xml:space="preserve"> </w:t>
      </w:r>
    </w:p>
    <w:p>
      <w:pPr>
        <w:spacing w:line="240" w:lineRule="auto"/>
        <w:ind w:left="424" w:leftChars="202"/>
        <w:jc w:val="left"/>
        <w:rPr>
          <w:szCs w:val="21"/>
        </w:rPr>
      </w:pPr>
      <w:r>
        <w:rPr>
          <w:rFonts w:hint="eastAsia"/>
          <w:szCs w:val="21"/>
        </w:rPr>
        <w:t>企业</w:t>
      </w:r>
      <w:r>
        <w:rPr>
          <w:szCs w:val="21"/>
        </w:rPr>
        <w:t>2</w:t>
      </w:r>
      <w:r>
        <w:rPr>
          <w:rFonts w:hint="eastAsia"/>
          <w:szCs w:val="21"/>
        </w:rPr>
        <w:t>名称（盖章）：</w:t>
      </w:r>
      <w:r>
        <w:rPr>
          <w:szCs w:val="21"/>
          <w:u w:val="single"/>
        </w:rPr>
        <w:t>_______________________</w:t>
      </w:r>
    </w:p>
    <w:p>
      <w:pPr>
        <w:tabs>
          <w:tab w:val="clear" w:pos="426"/>
        </w:tabs>
        <w:spacing w:line="240" w:lineRule="auto"/>
        <w:ind w:left="424" w:leftChars="202"/>
        <w:rPr>
          <w:szCs w:val="21"/>
        </w:rPr>
      </w:pPr>
      <w:r>
        <w:rPr>
          <w:rFonts w:hint="eastAsia"/>
          <w:szCs w:val="21"/>
        </w:rPr>
        <w:t>日期：</w:t>
      </w:r>
      <w:r>
        <w:rPr>
          <w:szCs w:val="21"/>
          <w:u w:val="single"/>
        </w:rPr>
        <w:t>_____________________________________</w:t>
      </w:r>
    </w:p>
    <w:p>
      <w:pPr>
        <w:tabs>
          <w:tab w:val="clear" w:pos="426"/>
        </w:tabs>
        <w:spacing w:line="500" w:lineRule="exact"/>
        <w:ind w:left="424" w:leftChars="202" w:firstLine="442"/>
        <w:rPr>
          <w:spacing w:val="4"/>
        </w:rPr>
      </w:pPr>
    </w:p>
    <w:p>
      <w:pPr>
        <w:tabs>
          <w:tab w:val="clear" w:pos="426"/>
        </w:tabs>
        <w:spacing w:before="231" w:beforeLines="50"/>
        <w:rPr>
          <w:b/>
        </w:rPr>
      </w:pPr>
      <w:bookmarkStart w:id="104" w:name="_Toc275865623"/>
      <w:bookmarkStart w:id="105" w:name="_Toc170699948"/>
      <w:bookmarkStart w:id="106" w:name="_Toc256000035"/>
      <w:bookmarkStart w:id="107" w:name="_Toc435515302"/>
      <w:bookmarkStart w:id="108" w:name="_Toc435514862"/>
      <w:bookmarkStart w:id="109" w:name="_Toc275865609"/>
      <w:bookmarkStart w:id="110" w:name="_Toc275865622"/>
      <w:bookmarkStart w:id="111" w:name="_Toc50737298"/>
      <w:bookmarkStart w:id="112" w:name="_Toc52165082"/>
      <w:bookmarkStart w:id="113" w:name="_Toc239051894"/>
      <w:bookmarkStart w:id="114" w:name="_Toc50691038"/>
      <w:bookmarkStart w:id="115" w:name="_Toc26220"/>
      <w:bookmarkStart w:id="116" w:name="_Toc87417460"/>
      <w:bookmarkStart w:id="117" w:name="_Toc435514861"/>
      <w:bookmarkStart w:id="118" w:name="_Toc435515301"/>
      <w:bookmarkStart w:id="119" w:name="_Toc50737330"/>
      <w:bookmarkStart w:id="120" w:name="_Toc50736478"/>
      <w:r>
        <w:rPr>
          <w:b/>
        </w:rPr>
        <w:t>3.</w:t>
      </w:r>
      <w:r>
        <w:rPr>
          <w:rFonts w:hint="eastAsia"/>
          <w:b/>
        </w:rPr>
        <w:t>分包意向协议书（可选）</w:t>
      </w: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Pr>
        <w:widowControl w:val="0"/>
        <w:shd w:val="clear" w:color="auto" w:fill="auto"/>
        <w:tabs>
          <w:tab w:val="left" w:pos="7740"/>
          <w:tab w:val="clear" w:pos="426"/>
        </w:tabs>
        <w:adjustRightInd/>
        <w:snapToGrid/>
        <w:rPr>
          <w:rFonts w:hAnsi="宋体" w:cs="Times New Roman"/>
          <w:kern w:val="10"/>
          <w:szCs w:val="21"/>
        </w:rPr>
      </w:pPr>
      <w:r>
        <w:rPr>
          <w:rFonts w:hint="eastAsia" w:hAnsi="宋体" w:cs="Times New Roman"/>
          <w:kern w:val="10"/>
          <w:szCs w:val="21"/>
        </w:rPr>
        <w:t>立约方：</w:t>
      </w:r>
    </w:p>
    <w:p>
      <w:pPr>
        <w:widowControl w:val="0"/>
        <w:shd w:val="clear" w:color="auto" w:fill="auto"/>
        <w:tabs>
          <w:tab w:val="left" w:pos="7740"/>
          <w:tab w:val="clear" w:pos="426"/>
        </w:tabs>
        <w:adjustRightInd/>
        <w:snapToGrid/>
        <w:rPr>
          <w:rFonts w:hAnsi="宋体" w:cs="Times New Roman"/>
          <w:kern w:val="2"/>
          <w:szCs w:val="21"/>
          <w:u w:val="single"/>
        </w:rPr>
      </w:pPr>
      <w:r>
        <w:rPr>
          <w:rFonts w:hint="eastAsia" w:hAnsi="宋体" w:cs="Times New Roman"/>
          <w:kern w:val="2"/>
          <w:szCs w:val="21"/>
          <w:u w:val="single"/>
        </w:rPr>
        <w:t xml:space="preserve">（甲方全称） </w:t>
      </w:r>
      <w:r>
        <w:rPr>
          <w:rFonts w:hAnsi="宋体" w:cs="Times New Roman"/>
          <w:kern w:val="2"/>
          <w:szCs w:val="21"/>
          <w:u w:val="single"/>
        </w:rPr>
        <w:t xml:space="preserve">          </w:t>
      </w:r>
    </w:p>
    <w:p>
      <w:pPr>
        <w:widowControl w:val="0"/>
        <w:shd w:val="clear" w:color="auto" w:fill="auto"/>
        <w:tabs>
          <w:tab w:val="left" w:pos="7740"/>
          <w:tab w:val="clear" w:pos="426"/>
        </w:tabs>
        <w:adjustRightInd/>
        <w:snapToGrid/>
        <w:rPr>
          <w:rFonts w:hAnsi="宋体" w:cs="Times New Roman"/>
          <w:kern w:val="2"/>
          <w:szCs w:val="21"/>
          <w:u w:val="single"/>
        </w:rPr>
      </w:pPr>
      <w:r>
        <w:rPr>
          <w:rFonts w:hint="eastAsia" w:hAnsi="宋体" w:cs="Times New Roman"/>
          <w:kern w:val="2"/>
          <w:szCs w:val="21"/>
          <w:u w:val="single"/>
        </w:rPr>
        <w:t xml:space="preserve">（乙方全称） </w:t>
      </w:r>
      <w:r>
        <w:rPr>
          <w:rFonts w:hAnsi="宋体" w:cs="Times New Roman"/>
          <w:kern w:val="2"/>
          <w:szCs w:val="21"/>
          <w:u w:val="single"/>
        </w:rPr>
        <w:t xml:space="preserve">          </w:t>
      </w:r>
    </w:p>
    <w:p>
      <w:pPr>
        <w:widowControl w:val="0"/>
        <w:shd w:val="clear" w:color="auto" w:fill="auto"/>
        <w:tabs>
          <w:tab w:val="left" w:pos="7740"/>
          <w:tab w:val="clear" w:pos="426"/>
        </w:tabs>
        <w:adjustRightInd/>
        <w:snapToGrid/>
        <w:rPr>
          <w:rFonts w:hAnsi="宋体" w:cs="Times New Roman"/>
          <w:kern w:val="2"/>
          <w:szCs w:val="21"/>
          <w:u w:val="single"/>
        </w:rPr>
      </w:pPr>
      <w:r>
        <w:rPr>
          <w:rFonts w:hint="eastAsia" w:hAnsi="宋体" w:cs="Times New Roman"/>
          <w:kern w:val="2"/>
          <w:szCs w:val="21"/>
          <w:u w:val="single"/>
        </w:rPr>
        <w:t xml:space="preserve">（丙方全称） </w:t>
      </w:r>
      <w:r>
        <w:rPr>
          <w:rFonts w:hAnsi="宋体" w:cs="Times New Roman"/>
          <w:kern w:val="2"/>
          <w:szCs w:val="21"/>
          <w:u w:val="single"/>
        </w:rPr>
        <w:t xml:space="preserve">          </w:t>
      </w:r>
    </w:p>
    <w:p>
      <w:pPr>
        <w:widowControl w:val="0"/>
        <w:shd w:val="clear" w:color="auto" w:fill="auto"/>
        <w:tabs>
          <w:tab w:val="left" w:pos="7740"/>
          <w:tab w:val="clear" w:pos="426"/>
        </w:tabs>
        <w:adjustRightInd/>
        <w:snapToGrid/>
        <w:rPr>
          <w:rFonts w:hAnsi="宋体" w:cs="Times New Roman"/>
          <w:kern w:val="2"/>
          <w:szCs w:val="21"/>
          <w:u w:val="single"/>
        </w:rPr>
      </w:pPr>
      <w:r>
        <w:rPr>
          <w:rFonts w:hAnsi="宋体" w:cs="Times New Roman"/>
          <w:kern w:val="2"/>
          <w:szCs w:val="21"/>
          <w:u w:val="single"/>
        </w:rPr>
        <w:t xml:space="preserve"> (……)</w:t>
      </w:r>
      <w:r>
        <w:rPr>
          <w:rFonts w:hint="eastAsia" w:hAnsi="宋体" w:cs="Times New Roman"/>
          <w:kern w:val="2"/>
          <w:szCs w:val="21"/>
          <w:u w:val="single"/>
        </w:rPr>
        <w:t xml:space="preserve"> </w:t>
      </w:r>
      <w:r>
        <w:rPr>
          <w:rFonts w:hAnsi="宋体" w:cs="Times New Roman"/>
          <w:kern w:val="2"/>
          <w:szCs w:val="21"/>
          <w:u w:val="single"/>
        </w:rPr>
        <w:t xml:space="preserve">               </w:t>
      </w:r>
    </w:p>
    <w:p>
      <w:pPr>
        <w:widowControl w:val="0"/>
        <w:shd w:val="clear" w:color="auto" w:fill="auto"/>
        <w:tabs>
          <w:tab w:val="left" w:pos="7740"/>
          <w:tab w:val="clear" w:pos="426"/>
        </w:tabs>
        <w:adjustRightInd/>
        <w:jc w:val="left"/>
        <w:rPr>
          <w:rFonts w:hAnsi="宋体" w:cs="Times New Roman"/>
          <w:kern w:val="2"/>
          <w:szCs w:val="21"/>
        </w:rPr>
      </w:pPr>
    </w:p>
    <w:p>
      <w:pPr>
        <w:widowControl w:val="0"/>
        <w:shd w:val="clear" w:color="auto" w:fill="auto"/>
        <w:tabs>
          <w:tab w:val="left" w:pos="7740"/>
          <w:tab w:val="clear" w:pos="426"/>
        </w:tabs>
        <w:adjustRightInd/>
        <w:ind w:firstLine="420" w:firstLineChars="200"/>
        <w:jc w:val="left"/>
        <w:rPr>
          <w:rFonts w:hAnsi="宋体" w:cs="Times New Roman"/>
          <w:kern w:val="2"/>
          <w:szCs w:val="21"/>
        </w:rPr>
      </w:pPr>
      <w:r>
        <w:rPr>
          <w:rFonts w:hint="eastAsia" w:hAnsi="宋体" w:cs="Times New Roman"/>
          <w:i/>
          <w:kern w:val="2"/>
          <w:szCs w:val="21"/>
          <w:u w:val="single"/>
        </w:rPr>
        <w:t xml:space="preserve">（甲方全称）  </w:t>
      </w:r>
      <w:r>
        <w:rPr>
          <w:rFonts w:hAnsi="宋体" w:cs="Times New Roman"/>
          <w:i/>
          <w:kern w:val="2"/>
          <w:szCs w:val="21"/>
          <w:u w:val="single"/>
        </w:rPr>
        <w:t xml:space="preserve">  </w:t>
      </w:r>
      <w:r>
        <w:rPr>
          <w:rFonts w:hint="eastAsia" w:hAnsi="宋体" w:cs="Times New Roman"/>
          <w:kern w:val="2"/>
          <w:szCs w:val="21"/>
        </w:rPr>
        <w:t>为</w:t>
      </w:r>
      <w:r>
        <w:rPr>
          <w:rFonts w:hAnsi="宋体" w:cs="Times New Roman"/>
          <w:kern w:val="2"/>
          <w:szCs w:val="21"/>
        </w:rPr>
        <w:t>投标方（</w:t>
      </w:r>
      <w:r>
        <w:rPr>
          <w:rFonts w:hint="eastAsia" w:hAnsi="宋体" w:cs="Times New Roman"/>
          <w:kern w:val="2"/>
          <w:szCs w:val="21"/>
        </w:rPr>
        <w:t>分包方</w:t>
      </w:r>
      <w:r>
        <w:rPr>
          <w:rFonts w:hAnsi="宋体" w:cs="Times New Roman"/>
          <w:kern w:val="2"/>
          <w:szCs w:val="21"/>
        </w:rPr>
        <w:t>），</w:t>
      </w:r>
      <w:r>
        <w:rPr>
          <w:rFonts w:hint="eastAsia" w:hAnsi="宋体" w:cs="Times New Roman"/>
          <w:kern w:val="2"/>
          <w:szCs w:val="21"/>
        </w:rPr>
        <w:t>就项目编号为:</w:t>
      </w:r>
      <w:r>
        <w:rPr>
          <w:rFonts w:hAnsi="宋体" w:cs="Times New Roman"/>
          <w:i/>
          <w:kern w:val="2"/>
          <w:szCs w:val="21"/>
          <w:u w:val="single"/>
        </w:rPr>
        <w:t xml:space="preserve">        </w:t>
      </w:r>
      <w:r>
        <w:rPr>
          <w:rFonts w:hAnsi="宋体" w:cs="Times New Roman"/>
          <w:kern w:val="2"/>
          <w:szCs w:val="21"/>
        </w:rPr>
        <w:t>项目名称为</w:t>
      </w:r>
      <w:r>
        <w:rPr>
          <w:rFonts w:hint="eastAsia" w:hAnsi="宋体" w:cs="Times New Roman"/>
          <w:kern w:val="2"/>
          <w:szCs w:val="21"/>
        </w:rPr>
        <w:t>:</w:t>
      </w:r>
      <w:r>
        <w:rPr>
          <w:rFonts w:hAnsi="宋体" w:cs="Times New Roman"/>
          <w:i/>
          <w:kern w:val="2"/>
          <w:szCs w:val="21"/>
          <w:u w:val="single"/>
        </w:rPr>
        <w:t xml:space="preserve">           </w:t>
      </w:r>
      <w:r>
        <w:rPr>
          <w:rFonts w:hint="eastAsia" w:hAnsi="宋体" w:cs="Times New Roman"/>
          <w:kern w:val="2"/>
          <w:szCs w:val="21"/>
        </w:rPr>
        <w:t>的项目投标事宜，与</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i/>
          <w:kern w:val="2"/>
          <w:szCs w:val="21"/>
          <w:u w:val="single"/>
        </w:rPr>
        <w:t>（乙方全称）</w:t>
      </w:r>
      <w:r>
        <w:rPr>
          <w:rFonts w:hint="eastAsia" w:hAnsi="宋体" w:cs="Times New Roman"/>
          <w:i/>
          <w:kern w:val="2"/>
          <w:szCs w:val="21"/>
        </w:rPr>
        <w:t>、</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i/>
          <w:kern w:val="2"/>
          <w:szCs w:val="21"/>
          <w:u w:val="single"/>
        </w:rPr>
        <w:t>（丙方全称）</w:t>
      </w:r>
      <w:r>
        <w:rPr>
          <w:rFonts w:hint="eastAsia" w:hAnsi="宋体" w:cs="Times New Roman"/>
          <w:i/>
          <w:kern w:val="2"/>
          <w:szCs w:val="21"/>
        </w:rPr>
        <w:t>、</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i/>
          <w:kern w:val="2"/>
          <w:szCs w:val="21"/>
          <w:u w:val="single"/>
        </w:rPr>
        <w:t>（</w:t>
      </w:r>
      <w:r>
        <w:rPr>
          <w:rFonts w:hAnsi="宋体" w:cs="Times New Roman"/>
          <w:i/>
          <w:kern w:val="2"/>
          <w:szCs w:val="21"/>
          <w:u w:val="single"/>
        </w:rPr>
        <w:t>…</w:t>
      </w:r>
      <w:r>
        <w:rPr>
          <w:rFonts w:hint="eastAsia" w:hAnsi="宋体" w:cs="Times New Roman"/>
          <w:i/>
          <w:kern w:val="2"/>
          <w:szCs w:val="21"/>
          <w:u w:val="single"/>
        </w:rPr>
        <w:t>）</w:t>
      </w:r>
      <w:r>
        <w:rPr>
          <w:rFonts w:hint="eastAsia" w:hAnsi="宋体" w:cs="Times New Roman"/>
          <w:kern w:val="2"/>
          <w:szCs w:val="21"/>
        </w:rPr>
        <w:t>通过友好协商达成以下协议：</w:t>
      </w:r>
    </w:p>
    <w:p>
      <w:pPr>
        <w:widowControl w:val="0"/>
        <w:shd w:val="clear" w:color="auto" w:fill="auto"/>
        <w:tabs>
          <w:tab w:val="left" w:pos="7740"/>
          <w:tab w:val="clear" w:pos="426"/>
        </w:tabs>
        <w:adjustRightInd/>
        <w:ind w:firstLine="420" w:firstLineChars="200"/>
        <w:jc w:val="left"/>
        <w:rPr>
          <w:rFonts w:hAnsi="宋体" w:cs="Times New Roman"/>
          <w:kern w:val="2"/>
          <w:szCs w:val="21"/>
        </w:rPr>
      </w:pPr>
      <w:r>
        <w:rPr>
          <w:rFonts w:hint="eastAsia" w:hAnsi="宋体" w:cs="Times New Roman"/>
          <w:bCs/>
          <w:kern w:val="2"/>
          <w:szCs w:val="21"/>
        </w:rPr>
        <w:t>一、在本次投标有效期内，</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i/>
          <w:kern w:val="2"/>
          <w:szCs w:val="21"/>
          <w:u w:val="single"/>
        </w:rPr>
        <w:t>（乙方全称）</w:t>
      </w:r>
      <w:r>
        <w:rPr>
          <w:rFonts w:hint="eastAsia" w:hAnsi="宋体" w:cs="Times New Roman"/>
          <w:i/>
          <w:kern w:val="2"/>
          <w:szCs w:val="21"/>
        </w:rPr>
        <w:t>、</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i/>
          <w:kern w:val="2"/>
          <w:szCs w:val="21"/>
          <w:u w:val="single"/>
        </w:rPr>
        <w:t>（丙方全称）</w:t>
      </w:r>
      <w:r>
        <w:rPr>
          <w:rFonts w:hint="eastAsia" w:hAnsi="宋体" w:cs="Times New Roman"/>
          <w:i/>
          <w:kern w:val="2"/>
          <w:szCs w:val="21"/>
        </w:rPr>
        <w:t>、</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i/>
          <w:kern w:val="2"/>
          <w:szCs w:val="21"/>
          <w:u w:val="single"/>
        </w:rPr>
        <w:t>（</w:t>
      </w:r>
      <w:r>
        <w:rPr>
          <w:rFonts w:hAnsi="宋体" w:cs="Times New Roman"/>
          <w:i/>
          <w:kern w:val="2"/>
          <w:szCs w:val="21"/>
          <w:u w:val="single"/>
        </w:rPr>
        <w:t>…</w:t>
      </w:r>
      <w:r>
        <w:rPr>
          <w:rFonts w:hint="eastAsia" w:hAnsi="宋体" w:cs="Times New Roman"/>
          <w:i/>
          <w:kern w:val="2"/>
          <w:szCs w:val="21"/>
          <w:u w:val="single"/>
        </w:rPr>
        <w:t>）</w:t>
      </w:r>
      <w:r>
        <w:rPr>
          <w:rFonts w:hint="eastAsia" w:hAnsi="宋体" w:cs="Times New Roman"/>
          <w:kern w:val="2"/>
          <w:szCs w:val="21"/>
        </w:rPr>
        <w:t>同意</w:t>
      </w:r>
      <w:r>
        <w:rPr>
          <w:rFonts w:hint="eastAsia" w:hAnsi="宋体" w:cs="Times New Roman"/>
          <w:i/>
          <w:kern w:val="2"/>
          <w:szCs w:val="21"/>
          <w:u w:val="single"/>
        </w:rPr>
        <w:t xml:space="preserve">（甲方全称）  </w:t>
      </w:r>
      <w:r>
        <w:rPr>
          <w:rFonts w:hAnsi="宋体" w:cs="Times New Roman"/>
          <w:i/>
          <w:kern w:val="2"/>
          <w:szCs w:val="21"/>
          <w:u w:val="single"/>
        </w:rPr>
        <w:t xml:space="preserve">   </w:t>
      </w:r>
      <w:r>
        <w:rPr>
          <w:rFonts w:hAnsi="宋体" w:cs="Times New Roman"/>
          <w:kern w:val="2"/>
          <w:szCs w:val="21"/>
        </w:rPr>
        <w:t>参加</w:t>
      </w:r>
      <w:r>
        <w:rPr>
          <w:rFonts w:hint="eastAsia" w:hAnsi="宋体" w:cs="Times New Roman"/>
          <w:kern w:val="2"/>
          <w:szCs w:val="21"/>
        </w:rPr>
        <w:t>上述项目投标事宜。若中标，各方按照本协议中约定的分工事项，完成各方对应的工作。</w:t>
      </w:r>
    </w:p>
    <w:p>
      <w:pPr>
        <w:widowControl w:val="0"/>
        <w:shd w:val="clear" w:color="auto" w:fill="auto"/>
        <w:tabs>
          <w:tab w:val="left" w:pos="7740"/>
          <w:tab w:val="clear" w:pos="426"/>
        </w:tabs>
        <w:adjustRightInd/>
        <w:ind w:firstLine="420" w:firstLineChars="200"/>
        <w:jc w:val="left"/>
        <w:rPr>
          <w:rFonts w:hAnsi="宋体" w:cs="Times New Roman"/>
          <w:bCs/>
          <w:kern w:val="2"/>
          <w:szCs w:val="21"/>
        </w:rPr>
      </w:pPr>
      <w:r>
        <w:rPr>
          <w:rFonts w:hint="eastAsia" w:hAnsi="宋体" w:cs="Times New Roman"/>
          <w:bCs/>
          <w:kern w:val="2"/>
          <w:szCs w:val="21"/>
        </w:rPr>
        <w:t>二、各方分工：</w:t>
      </w:r>
    </w:p>
    <w:p>
      <w:pPr>
        <w:widowControl w:val="0"/>
        <w:numPr>
          <w:ilvl w:val="0"/>
          <w:numId w:val="37"/>
        </w:numPr>
        <w:shd w:val="clear" w:color="auto" w:fill="auto"/>
        <w:tabs>
          <w:tab w:val="clear" w:pos="426"/>
        </w:tabs>
        <w:adjustRightInd/>
        <w:snapToGrid/>
        <w:spacing w:line="240" w:lineRule="auto"/>
        <w:ind w:firstLine="426"/>
        <w:jc w:val="left"/>
        <w:rPr>
          <w:rFonts w:hAnsi="宋体" w:cs="Times New Roman"/>
          <w:kern w:val="2"/>
          <w:szCs w:val="21"/>
        </w:rPr>
      </w:pPr>
      <w:r>
        <w:rPr>
          <w:rFonts w:hint="eastAsia" w:hAnsi="宋体" w:cs="Times New Roman"/>
          <w:kern w:val="2"/>
          <w:szCs w:val="21"/>
        </w:rPr>
        <w:t>本项目投标工作由</w:t>
      </w:r>
      <w:r>
        <w:rPr>
          <w:rFonts w:hint="eastAsia" w:hAnsi="宋体" w:cs="Times New Roman"/>
          <w:i/>
          <w:kern w:val="2"/>
          <w:szCs w:val="21"/>
          <w:u w:val="single"/>
        </w:rPr>
        <w:t xml:space="preserve">（甲方全称） </w:t>
      </w:r>
      <w:r>
        <w:rPr>
          <w:rFonts w:hAnsi="宋体" w:cs="Times New Roman"/>
          <w:i/>
          <w:kern w:val="2"/>
          <w:szCs w:val="21"/>
          <w:u w:val="single"/>
        </w:rPr>
        <w:t xml:space="preserve">     </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kern w:val="2"/>
          <w:szCs w:val="21"/>
        </w:rPr>
        <w:t>负责。</w:t>
      </w:r>
    </w:p>
    <w:p>
      <w:pPr>
        <w:widowControl w:val="0"/>
        <w:numPr>
          <w:ilvl w:val="0"/>
          <w:numId w:val="37"/>
        </w:numPr>
        <w:shd w:val="clear" w:color="auto" w:fill="auto"/>
        <w:tabs>
          <w:tab w:val="clear" w:pos="426"/>
        </w:tabs>
        <w:adjustRightInd/>
        <w:snapToGrid/>
        <w:spacing w:line="240" w:lineRule="auto"/>
        <w:ind w:firstLine="426"/>
        <w:jc w:val="left"/>
        <w:rPr>
          <w:rFonts w:hAnsi="宋体" w:cs="Times New Roman"/>
          <w:kern w:val="2"/>
          <w:szCs w:val="21"/>
        </w:rPr>
      </w:pPr>
      <w:r>
        <w:rPr>
          <w:rFonts w:hint="eastAsia" w:hAnsi="宋体" w:cs="Times New Roman"/>
          <w:kern w:val="2"/>
          <w:szCs w:val="21"/>
        </w:rPr>
        <w:t>本项目由</w:t>
      </w:r>
      <w:r>
        <w:rPr>
          <w:rFonts w:hint="eastAsia" w:hAnsi="宋体" w:cs="Times New Roman"/>
          <w:i/>
          <w:kern w:val="2"/>
          <w:szCs w:val="21"/>
          <w:u w:val="single"/>
        </w:rPr>
        <w:t xml:space="preserve">（甲方全称） </w:t>
      </w:r>
      <w:r>
        <w:rPr>
          <w:rFonts w:hAnsi="宋体" w:cs="Times New Roman"/>
          <w:i/>
          <w:kern w:val="2"/>
          <w:szCs w:val="21"/>
          <w:u w:val="single"/>
        </w:rPr>
        <w:t xml:space="preserve">  </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kern w:val="2"/>
          <w:szCs w:val="21"/>
        </w:rPr>
        <w:t>授权人员负责与采购人联系。</w:t>
      </w:r>
    </w:p>
    <w:p>
      <w:pPr>
        <w:widowControl w:val="0"/>
        <w:numPr>
          <w:ilvl w:val="0"/>
          <w:numId w:val="37"/>
        </w:numPr>
        <w:shd w:val="clear" w:color="auto" w:fill="auto"/>
        <w:tabs>
          <w:tab w:val="clear" w:pos="426"/>
        </w:tabs>
        <w:adjustRightInd/>
        <w:snapToGrid/>
        <w:spacing w:line="240" w:lineRule="auto"/>
        <w:ind w:firstLine="426"/>
        <w:jc w:val="left"/>
        <w:rPr>
          <w:rFonts w:hAnsi="宋体" w:cs="Times New Roman"/>
          <w:kern w:val="2"/>
          <w:szCs w:val="21"/>
        </w:rPr>
      </w:pPr>
      <w:r>
        <w:rPr>
          <w:rFonts w:hint="eastAsia" w:hAnsi="宋体" w:cs="Times New Roman"/>
          <w:i/>
          <w:kern w:val="2"/>
          <w:szCs w:val="21"/>
          <w:u w:val="single"/>
        </w:rPr>
        <w:t xml:space="preserve">（甲方全称） </w:t>
      </w:r>
      <w:r>
        <w:rPr>
          <w:rFonts w:hAnsi="宋体" w:cs="Times New Roman"/>
          <w:i/>
          <w:kern w:val="2"/>
          <w:szCs w:val="21"/>
          <w:u w:val="single"/>
        </w:rPr>
        <w:t xml:space="preserve">    </w:t>
      </w:r>
      <w:r>
        <w:rPr>
          <w:rFonts w:hint="eastAsia" w:hAnsi="宋体" w:cs="Times New Roman"/>
          <w:kern w:val="2"/>
          <w:szCs w:val="21"/>
        </w:rPr>
        <w:t>为分包方，属于</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i/>
          <w:kern w:val="2"/>
          <w:szCs w:val="21"/>
          <w:u w:val="single"/>
        </w:rPr>
        <w:t>（中型企业、小型企业、微型企业）</w:t>
      </w:r>
      <w:r>
        <w:rPr>
          <w:rFonts w:hint="eastAsia" w:hAnsi="宋体" w:cs="Times New Roman"/>
          <w:kern w:val="2"/>
          <w:szCs w:val="21"/>
        </w:rPr>
        <w:t>，拟承担的工作为:</w:t>
      </w:r>
      <w:r>
        <w:rPr>
          <w:rFonts w:hint="eastAsia" w:hAnsi="宋体" w:cs="Times New Roman"/>
          <w:i/>
          <w:kern w:val="2"/>
          <w:szCs w:val="21"/>
        </w:rPr>
        <w:t xml:space="preserve"> </w:t>
      </w:r>
      <w:r>
        <w:rPr>
          <w:rFonts w:hint="eastAsia" w:hAnsi="宋体" w:cs="Times New Roman"/>
          <w:i/>
          <w:kern w:val="2"/>
          <w:szCs w:val="21"/>
          <w:u w:val="single"/>
        </w:rPr>
        <w:t xml:space="preserve">              </w:t>
      </w:r>
      <w:r>
        <w:rPr>
          <w:rFonts w:hint="eastAsia" w:hAnsi="宋体" w:cs="Times New Roman"/>
          <w:kern w:val="2"/>
          <w:szCs w:val="21"/>
        </w:rPr>
        <w:t>。</w:t>
      </w:r>
    </w:p>
    <w:p>
      <w:pPr>
        <w:widowControl w:val="0"/>
        <w:numPr>
          <w:ilvl w:val="0"/>
          <w:numId w:val="37"/>
        </w:numPr>
        <w:shd w:val="clear" w:color="auto" w:fill="auto"/>
        <w:tabs>
          <w:tab w:val="clear" w:pos="426"/>
        </w:tabs>
        <w:adjustRightInd/>
        <w:snapToGrid/>
        <w:spacing w:line="240" w:lineRule="auto"/>
        <w:ind w:firstLine="426"/>
        <w:jc w:val="left"/>
        <w:rPr>
          <w:rFonts w:hAnsi="宋体" w:cs="Times New Roman"/>
          <w:kern w:val="2"/>
          <w:szCs w:val="21"/>
        </w:rPr>
      </w:pPr>
      <w:r>
        <w:rPr>
          <w:rFonts w:hint="eastAsia" w:hAnsi="宋体" w:cs="Times New Roman"/>
          <w:i/>
          <w:kern w:val="2"/>
          <w:szCs w:val="21"/>
          <w:u w:val="single"/>
        </w:rPr>
        <w:t xml:space="preserve">（乙方全称） </w:t>
      </w:r>
      <w:r>
        <w:rPr>
          <w:rFonts w:hAnsi="宋体" w:cs="Times New Roman"/>
          <w:i/>
          <w:kern w:val="2"/>
          <w:szCs w:val="21"/>
          <w:u w:val="single"/>
        </w:rPr>
        <w:t xml:space="preserve">    </w:t>
      </w:r>
      <w:r>
        <w:rPr>
          <w:rFonts w:hint="eastAsia" w:hAnsi="宋体" w:cs="Times New Roman"/>
          <w:kern w:val="2"/>
          <w:szCs w:val="21"/>
        </w:rPr>
        <w:t>为接受分包合同的分包承担方，属于</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i/>
          <w:kern w:val="2"/>
          <w:szCs w:val="21"/>
          <w:u w:val="single"/>
        </w:rPr>
        <w:t>（中型企业、小型企业、微型企业）</w:t>
      </w:r>
      <w:r>
        <w:rPr>
          <w:rFonts w:hint="eastAsia" w:hAnsi="宋体" w:cs="Times New Roman"/>
          <w:i/>
          <w:kern w:val="2"/>
          <w:szCs w:val="21"/>
        </w:rPr>
        <w:t>，</w:t>
      </w:r>
      <w:r>
        <w:rPr>
          <w:rFonts w:hint="eastAsia" w:hAnsi="宋体" w:cs="Times New Roman"/>
          <w:kern w:val="2"/>
          <w:szCs w:val="21"/>
        </w:rPr>
        <w:t xml:space="preserve">拟承担的工作为: </w:t>
      </w:r>
      <w:r>
        <w:rPr>
          <w:rFonts w:hint="eastAsia" w:hAnsi="宋体" w:cs="Times New Roman"/>
          <w:i/>
          <w:kern w:val="2"/>
          <w:szCs w:val="21"/>
          <w:u w:val="single"/>
        </w:rPr>
        <w:t xml:space="preserve">              </w:t>
      </w:r>
      <w:r>
        <w:rPr>
          <w:rFonts w:hint="eastAsia" w:hAnsi="宋体" w:cs="Times New Roman"/>
          <w:kern w:val="2"/>
          <w:szCs w:val="21"/>
        </w:rPr>
        <w:t>，其分包合同金额所占合同总金额比例为</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kern w:val="2"/>
          <w:szCs w:val="21"/>
        </w:rPr>
        <w:t>。</w:t>
      </w:r>
    </w:p>
    <w:p>
      <w:pPr>
        <w:widowControl w:val="0"/>
        <w:numPr>
          <w:ilvl w:val="0"/>
          <w:numId w:val="37"/>
        </w:numPr>
        <w:shd w:val="clear" w:color="auto" w:fill="auto"/>
        <w:tabs>
          <w:tab w:val="clear" w:pos="426"/>
        </w:tabs>
        <w:adjustRightInd/>
        <w:snapToGrid/>
        <w:spacing w:line="240" w:lineRule="auto"/>
        <w:ind w:firstLine="426"/>
        <w:jc w:val="left"/>
        <w:rPr>
          <w:rFonts w:hAnsi="宋体" w:cs="Times New Roman"/>
          <w:kern w:val="2"/>
          <w:szCs w:val="21"/>
        </w:rPr>
      </w:pPr>
      <w:r>
        <w:rPr>
          <w:rFonts w:hint="eastAsia" w:hAnsi="宋体" w:cs="Times New Roman"/>
          <w:i/>
          <w:kern w:val="2"/>
          <w:szCs w:val="21"/>
          <w:u w:val="single"/>
        </w:rPr>
        <w:t xml:space="preserve">（丙方全称） </w:t>
      </w:r>
      <w:r>
        <w:rPr>
          <w:rFonts w:hAnsi="宋体" w:cs="Times New Roman"/>
          <w:i/>
          <w:kern w:val="2"/>
          <w:szCs w:val="21"/>
          <w:u w:val="single"/>
        </w:rPr>
        <w:t xml:space="preserve">    </w:t>
      </w:r>
      <w:r>
        <w:rPr>
          <w:rFonts w:hint="eastAsia" w:hAnsi="宋体" w:cs="Times New Roman"/>
          <w:kern w:val="2"/>
          <w:szCs w:val="21"/>
        </w:rPr>
        <w:t>为接受分包合同的分包承担方，属于</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i/>
          <w:kern w:val="2"/>
          <w:szCs w:val="21"/>
          <w:u w:val="single"/>
        </w:rPr>
        <w:t>（中型企业、小型企业、微型企业）</w:t>
      </w:r>
      <w:r>
        <w:rPr>
          <w:rFonts w:hint="eastAsia" w:hAnsi="宋体" w:cs="Times New Roman"/>
          <w:i/>
          <w:kern w:val="2"/>
          <w:szCs w:val="21"/>
        </w:rPr>
        <w:t>，</w:t>
      </w:r>
      <w:r>
        <w:rPr>
          <w:rFonts w:hint="eastAsia" w:hAnsi="宋体" w:cs="Times New Roman"/>
          <w:kern w:val="2"/>
          <w:szCs w:val="21"/>
        </w:rPr>
        <w:t xml:space="preserve">拟承担的工作为: </w:t>
      </w:r>
      <w:r>
        <w:rPr>
          <w:rFonts w:hint="eastAsia" w:hAnsi="宋体" w:cs="Times New Roman"/>
          <w:i/>
          <w:kern w:val="2"/>
          <w:szCs w:val="21"/>
          <w:u w:val="single"/>
        </w:rPr>
        <w:t xml:space="preserve">              </w:t>
      </w:r>
      <w:r>
        <w:rPr>
          <w:rFonts w:hint="eastAsia" w:hAnsi="宋体" w:cs="Times New Roman"/>
          <w:kern w:val="2"/>
          <w:szCs w:val="21"/>
        </w:rPr>
        <w:t>，其分包合同金额所占合同总金额比例为</w:t>
      </w:r>
      <w:r>
        <w:rPr>
          <w:rFonts w:hint="eastAsia" w:hAnsi="宋体" w:cs="Times New Roman"/>
          <w:i/>
          <w:kern w:val="2"/>
          <w:szCs w:val="21"/>
          <w:u w:val="single"/>
        </w:rPr>
        <w:t xml:space="preserve"> </w:t>
      </w:r>
      <w:r>
        <w:rPr>
          <w:rFonts w:hAnsi="宋体" w:cs="Times New Roman"/>
          <w:i/>
          <w:kern w:val="2"/>
          <w:szCs w:val="21"/>
          <w:u w:val="single"/>
        </w:rPr>
        <w:t xml:space="preserve">      </w:t>
      </w:r>
      <w:r>
        <w:rPr>
          <w:rFonts w:hint="eastAsia" w:hAnsi="宋体" w:cs="Times New Roman"/>
          <w:kern w:val="2"/>
          <w:szCs w:val="21"/>
        </w:rPr>
        <w:t>。</w:t>
      </w:r>
    </w:p>
    <w:p>
      <w:pPr>
        <w:widowControl w:val="0"/>
        <w:numPr>
          <w:ilvl w:val="0"/>
          <w:numId w:val="37"/>
        </w:numPr>
        <w:shd w:val="clear" w:color="auto" w:fill="auto"/>
        <w:tabs>
          <w:tab w:val="clear" w:pos="426"/>
        </w:tabs>
        <w:adjustRightInd/>
        <w:snapToGrid/>
        <w:spacing w:line="240" w:lineRule="auto"/>
        <w:ind w:firstLine="426"/>
        <w:jc w:val="left"/>
        <w:rPr>
          <w:rFonts w:hAnsi="宋体" w:cs="Times New Roman"/>
          <w:kern w:val="2"/>
          <w:szCs w:val="21"/>
        </w:rPr>
      </w:pPr>
      <w:r>
        <w:rPr>
          <w:rFonts w:hint="eastAsia" w:hAnsi="宋体" w:cs="Times New Roman"/>
          <w:bCs/>
          <w:kern w:val="2"/>
          <w:szCs w:val="21"/>
        </w:rPr>
        <w:t>接受分包合同的中小企业与分包企业之间不存在直接控股、管理关系。</w:t>
      </w:r>
    </w:p>
    <w:p>
      <w:pPr>
        <w:widowControl w:val="0"/>
        <w:numPr>
          <w:ilvl w:val="0"/>
          <w:numId w:val="37"/>
        </w:numPr>
        <w:shd w:val="clear" w:color="auto" w:fill="auto"/>
        <w:tabs>
          <w:tab w:val="clear" w:pos="426"/>
        </w:tabs>
        <w:adjustRightInd/>
        <w:snapToGrid/>
        <w:spacing w:line="240" w:lineRule="auto"/>
        <w:ind w:firstLine="426"/>
        <w:jc w:val="left"/>
        <w:rPr>
          <w:rFonts w:hAnsi="宋体" w:cs="Times New Roman"/>
          <w:kern w:val="2"/>
          <w:szCs w:val="21"/>
        </w:rPr>
      </w:pPr>
      <w:r>
        <w:rPr>
          <w:rFonts w:hint="eastAsia" w:hAnsi="宋体" w:cs="Times New Roman"/>
          <w:kern w:val="2"/>
          <w:szCs w:val="21"/>
        </w:rPr>
        <w:t>如中标，各方应按照招标文件的各项要求和内部职责的划分，承担自身所负的责任和风险。</w:t>
      </w:r>
    </w:p>
    <w:p>
      <w:pPr>
        <w:widowControl w:val="0"/>
        <w:numPr>
          <w:ilvl w:val="0"/>
          <w:numId w:val="38"/>
        </w:numPr>
        <w:shd w:val="clear" w:color="auto" w:fill="auto"/>
        <w:tabs>
          <w:tab w:val="left" w:pos="567"/>
          <w:tab w:val="clear" w:pos="426"/>
        </w:tabs>
        <w:adjustRightInd/>
        <w:snapToGrid/>
        <w:spacing w:line="240" w:lineRule="auto"/>
        <w:ind w:left="567" w:firstLine="426"/>
        <w:jc w:val="left"/>
        <w:rPr>
          <w:rFonts w:hAnsi="宋体" w:cs="Times New Roman"/>
          <w:kern w:val="2"/>
          <w:szCs w:val="21"/>
        </w:rPr>
      </w:pPr>
      <w:r>
        <w:rPr>
          <w:rFonts w:hint="eastAsia" w:hAnsi="宋体" w:cs="Times New Roman"/>
          <w:kern w:val="2"/>
          <w:szCs w:val="21"/>
        </w:rPr>
        <w:t>本协议在自签署之日起生效，投标有效期内有效，如获中标资格，合同有效期延续至合同履行完毕之日。</w:t>
      </w:r>
    </w:p>
    <w:p>
      <w:pPr>
        <w:widowControl w:val="0"/>
        <w:numPr>
          <w:ilvl w:val="0"/>
          <w:numId w:val="38"/>
        </w:numPr>
        <w:shd w:val="clear" w:color="auto" w:fill="auto"/>
        <w:tabs>
          <w:tab w:val="left" w:pos="567"/>
          <w:tab w:val="clear" w:pos="426"/>
        </w:tabs>
        <w:adjustRightInd/>
        <w:snapToGrid/>
        <w:spacing w:line="240" w:lineRule="auto"/>
        <w:ind w:left="567" w:firstLine="426"/>
        <w:jc w:val="left"/>
        <w:rPr>
          <w:rFonts w:hAnsi="宋体" w:cs="Times New Roman"/>
          <w:kern w:val="2"/>
          <w:szCs w:val="21"/>
        </w:rPr>
      </w:pPr>
      <w:r>
        <w:rPr>
          <w:rFonts w:hint="eastAsia" w:hAnsi="宋体" w:cs="Times New Roman"/>
          <w:kern w:val="2"/>
          <w:szCs w:val="21"/>
        </w:rPr>
        <w:t>本协议书正本一式</w:t>
      </w:r>
      <w:r>
        <w:rPr>
          <w:rFonts w:hint="eastAsia" w:hAnsi="宋体" w:cs="Times New Roman"/>
          <w:kern w:val="2"/>
          <w:szCs w:val="21"/>
          <w:u w:val="single"/>
        </w:rPr>
        <w:t xml:space="preserve">   </w:t>
      </w:r>
      <w:r>
        <w:rPr>
          <w:rFonts w:hint="eastAsia" w:hAnsi="宋体" w:cs="Times New Roman"/>
          <w:kern w:val="2"/>
          <w:szCs w:val="21"/>
        </w:rPr>
        <w:t>份，随投标文件装订</w:t>
      </w:r>
      <w:r>
        <w:rPr>
          <w:rFonts w:hint="eastAsia" w:hAnsi="宋体" w:cs="Times New Roman"/>
          <w:kern w:val="2"/>
          <w:szCs w:val="21"/>
          <w:u w:val="single"/>
        </w:rPr>
        <w:t xml:space="preserve">   </w:t>
      </w:r>
      <w:r>
        <w:rPr>
          <w:rFonts w:hint="eastAsia" w:hAnsi="宋体" w:cs="Times New Roman"/>
          <w:kern w:val="2"/>
          <w:szCs w:val="21"/>
        </w:rPr>
        <w:t>份，送采购人</w:t>
      </w:r>
      <w:r>
        <w:rPr>
          <w:rFonts w:hint="eastAsia" w:hAnsi="宋体" w:cs="Times New Roman"/>
          <w:kern w:val="2"/>
          <w:szCs w:val="21"/>
          <w:u w:val="single"/>
        </w:rPr>
        <w:t xml:space="preserve">   </w:t>
      </w:r>
      <w:r>
        <w:rPr>
          <w:rFonts w:hint="eastAsia" w:hAnsi="宋体" w:cs="Times New Roman"/>
          <w:kern w:val="2"/>
          <w:szCs w:val="21"/>
        </w:rPr>
        <w:t>份，分包意向协议成员各一份；副本一式</w:t>
      </w:r>
      <w:r>
        <w:rPr>
          <w:rFonts w:hint="eastAsia" w:hAnsi="宋体" w:cs="Times New Roman"/>
          <w:kern w:val="2"/>
          <w:szCs w:val="21"/>
          <w:u w:val="single"/>
        </w:rPr>
        <w:t xml:space="preserve">   </w:t>
      </w:r>
      <w:r>
        <w:rPr>
          <w:rFonts w:hint="eastAsia" w:hAnsi="宋体" w:cs="Times New Roman"/>
          <w:kern w:val="2"/>
          <w:szCs w:val="21"/>
        </w:rPr>
        <w:t>份，分包意向协议成员各执</w:t>
      </w:r>
      <w:r>
        <w:rPr>
          <w:rFonts w:hint="eastAsia" w:hAnsi="宋体" w:cs="Times New Roman"/>
          <w:kern w:val="2"/>
          <w:szCs w:val="21"/>
          <w:u w:val="single"/>
        </w:rPr>
        <w:t xml:space="preserve">   </w:t>
      </w:r>
      <w:r>
        <w:rPr>
          <w:rFonts w:hint="eastAsia" w:hAnsi="宋体" w:cs="Times New Roman"/>
          <w:kern w:val="2"/>
          <w:szCs w:val="21"/>
        </w:rPr>
        <w:t xml:space="preserve"> 份。</w:t>
      </w:r>
    </w:p>
    <w:p>
      <w:pPr>
        <w:widowControl w:val="0"/>
        <w:shd w:val="clear" w:color="auto" w:fill="auto"/>
        <w:tabs>
          <w:tab w:val="clear" w:pos="426"/>
        </w:tabs>
        <w:adjustRightInd/>
        <w:snapToGrid/>
        <w:spacing w:line="240" w:lineRule="auto"/>
        <w:rPr>
          <w:rFonts w:hAnsi="宋体" w:cs="Courier New"/>
          <w:kern w:val="2"/>
          <w:szCs w:val="21"/>
        </w:rPr>
      </w:pPr>
    </w:p>
    <w:p>
      <w:pPr>
        <w:shd w:val="clear" w:color="auto" w:fill="auto"/>
        <w:tabs>
          <w:tab w:val="left" w:pos="7740"/>
          <w:tab w:val="clear" w:pos="426"/>
        </w:tabs>
        <w:adjustRightInd/>
        <w:snapToGrid/>
        <w:jc w:val="left"/>
        <w:rPr>
          <w:rFonts w:hAnsi="宋体" w:cs="Times New Roman"/>
          <w:kern w:val="2"/>
          <w:szCs w:val="21"/>
        </w:rPr>
      </w:pPr>
    </w:p>
    <w:p>
      <w:pPr>
        <w:shd w:val="clear" w:color="auto" w:fill="auto"/>
        <w:tabs>
          <w:tab w:val="left" w:pos="7740"/>
          <w:tab w:val="clear" w:pos="426"/>
        </w:tabs>
        <w:adjustRightInd/>
        <w:snapToGrid/>
        <w:jc w:val="left"/>
        <w:rPr>
          <w:rFonts w:hAnsi="宋体" w:cs="Times New Roman"/>
          <w:kern w:val="2"/>
          <w:szCs w:val="21"/>
        </w:rPr>
      </w:pPr>
      <w:r>
        <w:rPr>
          <w:rFonts w:hint="eastAsia" w:hAnsi="宋体" w:cs="Times New Roman"/>
          <w:kern w:val="2"/>
          <w:szCs w:val="21"/>
        </w:rPr>
        <w:t>甲方全称（盖章）：</w:t>
      </w:r>
      <w:r>
        <w:rPr>
          <w:rFonts w:hAnsi="宋体" w:cs="Times New Roman"/>
          <w:kern w:val="2"/>
          <w:szCs w:val="21"/>
          <w:u w:val="single"/>
        </w:rPr>
        <w:t xml:space="preserve">        </w:t>
      </w:r>
    </w:p>
    <w:p>
      <w:pPr>
        <w:shd w:val="clear" w:color="auto" w:fill="auto"/>
        <w:tabs>
          <w:tab w:val="left" w:pos="7740"/>
          <w:tab w:val="clear" w:pos="426"/>
        </w:tabs>
        <w:adjustRightInd/>
        <w:snapToGrid/>
        <w:jc w:val="left"/>
        <w:rPr>
          <w:rFonts w:hAnsi="宋体" w:cs="Times New Roman"/>
          <w:kern w:val="2"/>
          <w:szCs w:val="21"/>
          <w:u w:val="single"/>
        </w:rPr>
      </w:pPr>
      <w:r>
        <w:rPr>
          <w:rFonts w:hint="eastAsia" w:hAnsi="宋体" w:cs="Times New Roman"/>
          <w:kern w:val="2"/>
          <w:szCs w:val="21"/>
        </w:rPr>
        <w:t>法定代表人（签字）：</w:t>
      </w:r>
      <w:r>
        <w:rPr>
          <w:rFonts w:hint="eastAsia" w:hAnsi="宋体" w:cs="Times New Roman"/>
          <w:kern w:val="2"/>
          <w:szCs w:val="21"/>
          <w:u w:val="single"/>
        </w:rPr>
        <w:t xml:space="preserve"> </w:t>
      </w:r>
      <w:r>
        <w:rPr>
          <w:rFonts w:hAnsi="宋体" w:cs="Times New Roman"/>
          <w:kern w:val="2"/>
          <w:szCs w:val="21"/>
          <w:u w:val="single"/>
        </w:rPr>
        <w:t xml:space="preserve">       </w:t>
      </w:r>
    </w:p>
    <w:p>
      <w:pPr>
        <w:shd w:val="clear" w:color="auto" w:fill="auto"/>
        <w:tabs>
          <w:tab w:val="left" w:pos="7740"/>
          <w:tab w:val="clear" w:pos="426"/>
        </w:tabs>
        <w:adjustRightInd/>
        <w:snapToGrid/>
        <w:jc w:val="left"/>
        <w:rPr>
          <w:rFonts w:hAnsi="宋体" w:cs="Times New Roman"/>
          <w:kern w:val="2"/>
          <w:szCs w:val="21"/>
        </w:rPr>
      </w:pPr>
      <w:r>
        <w:rPr>
          <w:rFonts w:hint="eastAsia" w:hAnsi="宋体" w:cs="Times New Roman"/>
          <w:kern w:val="2"/>
          <w:szCs w:val="21"/>
          <w:u w:val="single"/>
        </w:rPr>
        <w:t xml:space="preserve"> </w:t>
      </w:r>
      <w:r>
        <w:rPr>
          <w:rFonts w:hAnsi="宋体" w:cs="Times New Roman"/>
          <w:kern w:val="2"/>
          <w:szCs w:val="21"/>
          <w:u w:val="single"/>
        </w:rPr>
        <w:t xml:space="preserve">    </w:t>
      </w:r>
      <w:r>
        <w:rPr>
          <w:rFonts w:hint="eastAsia" w:hAnsi="宋体" w:cs="Times New Roman"/>
          <w:kern w:val="2"/>
          <w:szCs w:val="21"/>
          <w:u w:val="single"/>
        </w:rPr>
        <w:t xml:space="preserve">  </w:t>
      </w:r>
      <w:r>
        <w:rPr>
          <w:rFonts w:hint="eastAsia" w:hAnsi="宋体" w:cs="Times New Roman"/>
          <w:kern w:val="2"/>
          <w:szCs w:val="21"/>
        </w:rPr>
        <w:t>年</w:t>
      </w:r>
      <w:r>
        <w:rPr>
          <w:rFonts w:hint="eastAsia" w:hAnsi="宋体" w:cs="Times New Roman"/>
          <w:kern w:val="2"/>
          <w:szCs w:val="21"/>
          <w:u w:val="single"/>
        </w:rPr>
        <w:t xml:space="preserve"> </w:t>
      </w:r>
      <w:r>
        <w:rPr>
          <w:rFonts w:hAnsi="宋体" w:cs="Times New Roman"/>
          <w:kern w:val="2"/>
          <w:szCs w:val="21"/>
          <w:u w:val="single"/>
        </w:rPr>
        <w:t xml:space="preserve">  </w:t>
      </w:r>
      <w:r>
        <w:rPr>
          <w:rFonts w:hint="eastAsia" w:hAnsi="宋体" w:cs="Times New Roman"/>
          <w:kern w:val="2"/>
          <w:szCs w:val="21"/>
          <w:u w:val="single"/>
        </w:rPr>
        <w:t xml:space="preserve">  </w:t>
      </w:r>
      <w:r>
        <w:rPr>
          <w:rFonts w:hint="eastAsia" w:hAnsi="宋体" w:cs="Times New Roman"/>
          <w:kern w:val="2"/>
          <w:szCs w:val="21"/>
        </w:rPr>
        <w:t>月</w:t>
      </w:r>
      <w:r>
        <w:rPr>
          <w:rFonts w:hint="eastAsia" w:hAnsi="宋体" w:cs="Times New Roman"/>
          <w:kern w:val="2"/>
          <w:szCs w:val="21"/>
          <w:u w:val="single"/>
        </w:rPr>
        <w:t xml:space="preserve">  </w:t>
      </w:r>
      <w:r>
        <w:rPr>
          <w:rFonts w:hAnsi="宋体" w:cs="Times New Roman"/>
          <w:kern w:val="2"/>
          <w:szCs w:val="21"/>
          <w:u w:val="single"/>
        </w:rPr>
        <w:t xml:space="preserve">  </w:t>
      </w:r>
      <w:r>
        <w:rPr>
          <w:rFonts w:hint="eastAsia" w:hAnsi="宋体" w:cs="Times New Roman"/>
          <w:kern w:val="2"/>
          <w:szCs w:val="21"/>
          <w:u w:val="single"/>
        </w:rPr>
        <w:t xml:space="preserve"> </w:t>
      </w:r>
      <w:r>
        <w:rPr>
          <w:rFonts w:hint="eastAsia" w:hAnsi="宋体" w:cs="Times New Roman"/>
          <w:kern w:val="2"/>
          <w:szCs w:val="21"/>
        </w:rPr>
        <w:t>日</w:t>
      </w:r>
    </w:p>
    <w:p>
      <w:pPr>
        <w:shd w:val="clear" w:color="auto" w:fill="auto"/>
        <w:tabs>
          <w:tab w:val="left" w:pos="7740"/>
          <w:tab w:val="clear" w:pos="426"/>
        </w:tabs>
        <w:adjustRightInd/>
        <w:snapToGrid/>
        <w:jc w:val="left"/>
        <w:rPr>
          <w:rFonts w:hAnsi="宋体" w:cs="Times New Roman"/>
          <w:kern w:val="2"/>
          <w:szCs w:val="21"/>
        </w:rPr>
      </w:pPr>
    </w:p>
    <w:p>
      <w:pPr>
        <w:shd w:val="clear" w:color="auto" w:fill="auto"/>
        <w:tabs>
          <w:tab w:val="left" w:pos="7740"/>
          <w:tab w:val="clear" w:pos="426"/>
        </w:tabs>
        <w:adjustRightInd/>
        <w:snapToGrid/>
        <w:jc w:val="left"/>
        <w:rPr>
          <w:rFonts w:hAnsi="宋体" w:cs="Times New Roman"/>
          <w:kern w:val="2"/>
          <w:szCs w:val="21"/>
        </w:rPr>
      </w:pPr>
      <w:r>
        <w:rPr>
          <w:rFonts w:hint="eastAsia" w:hAnsi="宋体" w:cs="Times New Roman"/>
          <w:kern w:val="2"/>
          <w:szCs w:val="21"/>
        </w:rPr>
        <w:t>乙方全称（盖章）：</w:t>
      </w:r>
      <w:r>
        <w:rPr>
          <w:rFonts w:hAnsi="宋体" w:cs="Times New Roman"/>
          <w:kern w:val="2"/>
          <w:szCs w:val="21"/>
          <w:u w:val="single"/>
        </w:rPr>
        <w:t xml:space="preserve">        </w:t>
      </w:r>
    </w:p>
    <w:p>
      <w:pPr>
        <w:shd w:val="clear" w:color="auto" w:fill="auto"/>
        <w:tabs>
          <w:tab w:val="left" w:pos="7740"/>
          <w:tab w:val="clear" w:pos="426"/>
        </w:tabs>
        <w:adjustRightInd/>
        <w:snapToGrid/>
        <w:jc w:val="left"/>
        <w:rPr>
          <w:rFonts w:hAnsi="宋体" w:cs="Times New Roman"/>
          <w:kern w:val="2"/>
          <w:szCs w:val="21"/>
          <w:u w:val="single"/>
        </w:rPr>
      </w:pPr>
      <w:r>
        <w:rPr>
          <w:rFonts w:hint="eastAsia" w:hAnsi="宋体" w:cs="Times New Roman"/>
          <w:kern w:val="2"/>
          <w:szCs w:val="21"/>
        </w:rPr>
        <w:t>法定代表人（签字）：</w:t>
      </w:r>
      <w:r>
        <w:rPr>
          <w:rFonts w:hint="eastAsia" w:hAnsi="宋体" w:cs="Times New Roman"/>
          <w:kern w:val="2"/>
          <w:szCs w:val="21"/>
          <w:u w:val="single"/>
        </w:rPr>
        <w:t xml:space="preserve"> </w:t>
      </w:r>
      <w:r>
        <w:rPr>
          <w:rFonts w:hAnsi="宋体" w:cs="Times New Roman"/>
          <w:kern w:val="2"/>
          <w:szCs w:val="21"/>
          <w:u w:val="single"/>
        </w:rPr>
        <w:t xml:space="preserve">       </w:t>
      </w:r>
    </w:p>
    <w:p>
      <w:pPr>
        <w:shd w:val="clear" w:color="auto" w:fill="auto"/>
        <w:tabs>
          <w:tab w:val="left" w:pos="7740"/>
          <w:tab w:val="clear" w:pos="426"/>
        </w:tabs>
        <w:adjustRightInd/>
        <w:snapToGrid/>
        <w:jc w:val="left"/>
        <w:rPr>
          <w:rFonts w:hAnsi="宋体" w:cs="Times New Roman"/>
          <w:kern w:val="2"/>
          <w:szCs w:val="21"/>
        </w:rPr>
      </w:pPr>
      <w:r>
        <w:rPr>
          <w:rFonts w:hint="eastAsia" w:hAnsi="宋体" w:cs="Times New Roman"/>
          <w:kern w:val="2"/>
          <w:szCs w:val="21"/>
          <w:u w:val="single"/>
        </w:rPr>
        <w:t xml:space="preserve"> </w:t>
      </w:r>
      <w:r>
        <w:rPr>
          <w:rFonts w:hAnsi="宋体" w:cs="Times New Roman"/>
          <w:kern w:val="2"/>
          <w:szCs w:val="21"/>
          <w:u w:val="single"/>
        </w:rPr>
        <w:t xml:space="preserve">    </w:t>
      </w:r>
      <w:r>
        <w:rPr>
          <w:rFonts w:hint="eastAsia" w:hAnsi="宋体" w:cs="Times New Roman"/>
          <w:kern w:val="2"/>
          <w:szCs w:val="21"/>
          <w:u w:val="single"/>
        </w:rPr>
        <w:t xml:space="preserve">  </w:t>
      </w:r>
      <w:r>
        <w:rPr>
          <w:rFonts w:hint="eastAsia" w:hAnsi="宋体" w:cs="Times New Roman"/>
          <w:kern w:val="2"/>
          <w:szCs w:val="21"/>
        </w:rPr>
        <w:t>年</w:t>
      </w:r>
      <w:r>
        <w:rPr>
          <w:rFonts w:hint="eastAsia" w:hAnsi="宋体" w:cs="Times New Roman"/>
          <w:kern w:val="2"/>
          <w:szCs w:val="21"/>
          <w:u w:val="single"/>
        </w:rPr>
        <w:t xml:space="preserve"> </w:t>
      </w:r>
      <w:r>
        <w:rPr>
          <w:rFonts w:hAnsi="宋体" w:cs="Times New Roman"/>
          <w:kern w:val="2"/>
          <w:szCs w:val="21"/>
          <w:u w:val="single"/>
        </w:rPr>
        <w:t xml:space="preserve">  </w:t>
      </w:r>
      <w:r>
        <w:rPr>
          <w:rFonts w:hint="eastAsia" w:hAnsi="宋体" w:cs="Times New Roman"/>
          <w:kern w:val="2"/>
          <w:szCs w:val="21"/>
          <w:u w:val="single"/>
        </w:rPr>
        <w:t xml:space="preserve">  </w:t>
      </w:r>
      <w:r>
        <w:rPr>
          <w:rFonts w:hint="eastAsia" w:hAnsi="宋体" w:cs="Times New Roman"/>
          <w:kern w:val="2"/>
          <w:szCs w:val="21"/>
        </w:rPr>
        <w:t>月</w:t>
      </w:r>
      <w:r>
        <w:rPr>
          <w:rFonts w:hint="eastAsia" w:hAnsi="宋体" w:cs="Times New Roman"/>
          <w:kern w:val="2"/>
          <w:szCs w:val="21"/>
          <w:u w:val="single"/>
        </w:rPr>
        <w:t xml:space="preserve">  </w:t>
      </w:r>
      <w:r>
        <w:rPr>
          <w:rFonts w:hAnsi="宋体" w:cs="Times New Roman"/>
          <w:kern w:val="2"/>
          <w:szCs w:val="21"/>
          <w:u w:val="single"/>
        </w:rPr>
        <w:t xml:space="preserve">  </w:t>
      </w:r>
      <w:r>
        <w:rPr>
          <w:rFonts w:hint="eastAsia" w:hAnsi="宋体" w:cs="Times New Roman"/>
          <w:kern w:val="2"/>
          <w:szCs w:val="21"/>
          <w:u w:val="single"/>
        </w:rPr>
        <w:t xml:space="preserve"> </w:t>
      </w:r>
      <w:r>
        <w:rPr>
          <w:rFonts w:hint="eastAsia" w:hAnsi="宋体" w:cs="Times New Roman"/>
          <w:kern w:val="2"/>
          <w:szCs w:val="21"/>
        </w:rPr>
        <w:t>日</w:t>
      </w:r>
    </w:p>
    <w:p>
      <w:pPr>
        <w:shd w:val="clear" w:color="auto" w:fill="auto"/>
        <w:tabs>
          <w:tab w:val="left" w:pos="7740"/>
          <w:tab w:val="clear" w:pos="426"/>
        </w:tabs>
        <w:adjustRightInd/>
        <w:snapToGrid/>
        <w:jc w:val="left"/>
        <w:rPr>
          <w:rFonts w:hAnsi="宋体" w:cs="Times New Roman"/>
          <w:kern w:val="2"/>
          <w:szCs w:val="21"/>
        </w:rPr>
      </w:pPr>
    </w:p>
    <w:p>
      <w:pPr>
        <w:shd w:val="clear" w:color="auto" w:fill="auto"/>
        <w:tabs>
          <w:tab w:val="left" w:pos="7740"/>
          <w:tab w:val="clear" w:pos="426"/>
        </w:tabs>
        <w:adjustRightInd/>
        <w:snapToGrid/>
        <w:jc w:val="left"/>
        <w:rPr>
          <w:rFonts w:hAnsi="宋体" w:cs="Times New Roman"/>
          <w:kern w:val="2"/>
          <w:szCs w:val="21"/>
        </w:rPr>
      </w:pPr>
      <w:r>
        <w:rPr>
          <w:rFonts w:hint="eastAsia" w:hAnsi="宋体" w:cs="Times New Roman"/>
          <w:kern w:val="2"/>
          <w:szCs w:val="21"/>
        </w:rPr>
        <w:t>丙方全称（盖章）：</w:t>
      </w:r>
      <w:r>
        <w:rPr>
          <w:rFonts w:hAnsi="宋体" w:cs="Times New Roman"/>
          <w:kern w:val="2"/>
          <w:szCs w:val="21"/>
          <w:u w:val="single"/>
        </w:rPr>
        <w:t xml:space="preserve">        </w:t>
      </w:r>
    </w:p>
    <w:p>
      <w:pPr>
        <w:shd w:val="clear" w:color="auto" w:fill="auto"/>
        <w:tabs>
          <w:tab w:val="left" w:pos="7740"/>
          <w:tab w:val="clear" w:pos="426"/>
        </w:tabs>
        <w:adjustRightInd/>
        <w:snapToGrid/>
        <w:jc w:val="left"/>
        <w:rPr>
          <w:rFonts w:hAnsi="宋体" w:cs="Times New Roman"/>
          <w:kern w:val="2"/>
          <w:szCs w:val="21"/>
          <w:u w:val="single"/>
        </w:rPr>
      </w:pPr>
      <w:r>
        <w:rPr>
          <w:rFonts w:hint="eastAsia" w:hAnsi="宋体" w:cs="Times New Roman"/>
          <w:kern w:val="2"/>
          <w:szCs w:val="21"/>
        </w:rPr>
        <w:t>法定代表人（签字）：</w:t>
      </w:r>
      <w:r>
        <w:rPr>
          <w:rFonts w:hint="eastAsia" w:hAnsi="宋体" w:cs="Times New Roman"/>
          <w:kern w:val="2"/>
          <w:szCs w:val="21"/>
          <w:u w:val="single"/>
        </w:rPr>
        <w:t xml:space="preserve"> </w:t>
      </w:r>
      <w:r>
        <w:rPr>
          <w:rFonts w:hAnsi="宋体" w:cs="Times New Roman"/>
          <w:kern w:val="2"/>
          <w:szCs w:val="21"/>
          <w:u w:val="single"/>
        </w:rPr>
        <w:t xml:space="preserve">       </w:t>
      </w:r>
    </w:p>
    <w:p>
      <w:pPr>
        <w:shd w:val="clear" w:color="auto" w:fill="auto"/>
        <w:tabs>
          <w:tab w:val="left" w:pos="7740"/>
          <w:tab w:val="clear" w:pos="426"/>
        </w:tabs>
        <w:adjustRightInd/>
        <w:snapToGrid/>
        <w:jc w:val="left"/>
        <w:rPr>
          <w:rFonts w:hAnsi="宋体" w:cs="Times New Roman"/>
          <w:kern w:val="2"/>
          <w:szCs w:val="21"/>
        </w:rPr>
      </w:pPr>
      <w:r>
        <w:rPr>
          <w:rFonts w:hint="eastAsia" w:hAnsi="宋体" w:cs="Times New Roman"/>
          <w:kern w:val="2"/>
          <w:szCs w:val="21"/>
          <w:u w:val="single"/>
        </w:rPr>
        <w:t xml:space="preserve"> </w:t>
      </w:r>
      <w:r>
        <w:rPr>
          <w:rFonts w:hAnsi="宋体" w:cs="Times New Roman"/>
          <w:kern w:val="2"/>
          <w:szCs w:val="21"/>
          <w:u w:val="single"/>
        </w:rPr>
        <w:t xml:space="preserve">    </w:t>
      </w:r>
      <w:r>
        <w:rPr>
          <w:rFonts w:hint="eastAsia" w:hAnsi="宋体" w:cs="Times New Roman"/>
          <w:kern w:val="2"/>
          <w:szCs w:val="21"/>
          <w:u w:val="single"/>
        </w:rPr>
        <w:t xml:space="preserve">  </w:t>
      </w:r>
      <w:r>
        <w:rPr>
          <w:rFonts w:hint="eastAsia" w:hAnsi="宋体" w:cs="Times New Roman"/>
          <w:kern w:val="2"/>
          <w:szCs w:val="21"/>
        </w:rPr>
        <w:t>年</w:t>
      </w:r>
      <w:r>
        <w:rPr>
          <w:rFonts w:hint="eastAsia" w:hAnsi="宋体" w:cs="Times New Roman"/>
          <w:kern w:val="2"/>
          <w:szCs w:val="21"/>
          <w:u w:val="single"/>
        </w:rPr>
        <w:t xml:space="preserve"> </w:t>
      </w:r>
      <w:r>
        <w:rPr>
          <w:rFonts w:hAnsi="宋体" w:cs="Times New Roman"/>
          <w:kern w:val="2"/>
          <w:szCs w:val="21"/>
          <w:u w:val="single"/>
        </w:rPr>
        <w:t xml:space="preserve">  </w:t>
      </w:r>
      <w:r>
        <w:rPr>
          <w:rFonts w:hint="eastAsia" w:hAnsi="宋体" w:cs="Times New Roman"/>
          <w:kern w:val="2"/>
          <w:szCs w:val="21"/>
          <w:u w:val="single"/>
        </w:rPr>
        <w:t xml:space="preserve">  </w:t>
      </w:r>
      <w:r>
        <w:rPr>
          <w:rFonts w:hint="eastAsia" w:hAnsi="宋体" w:cs="Times New Roman"/>
          <w:kern w:val="2"/>
          <w:szCs w:val="21"/>
        </w:rPr>
        <w:t>月</w:t>
      </w:r>
      <w:r>
        <w:rPr>
          <w:rFonts w:hint="eastAsia" w:hAnsi="宋体" w:cs="Times New Roman"/>
          <w:kern w:val="2"/>
          <w:szCs w:val="21"/>
          <w:u w:val="single"/>
        </w:rPr>
        <w:t xml:space="preserve">  </w:t>
      </w:r>
      <w:r>
        <w:rPr>
          <w:rFonts w:hAnsi="宋体" w:cs="Times New Roman"/>
          <w:kern w:val="2"/>
          <w:szCs w:val="21"/>
          <w:u w:val="single"/>
        </w:rPr>
        <w:t xml:space="preserve">  </w:t>
      </w:r>
      <w:r>
        <w:rPr>
          <w:rFonts w:hint="eastAsia" w:hAnsi="宋体" w:cs="Times New Roman"/>
          <w:kern w:val="2"/>
          <w:szCs w:val="21"/>
          <w:u w:val="single"/>
        </w:rPr>
        <w:t xml:space="preserve"> </w:t>
      </w:r>
      <w:r>
        <w:rPr>
          <w:rFonts w:hint="eastAsia" w:hAnsi="宋体" w:cs="Times New Roman"/>
          <w:kern w:val="2"/>
          <w:szCs w:val="21"/>
        </w:rPr>
        <w:t>日</w:t>
      </w:r>
    </w:p>
    <w:p>
      <w:pPr>
        <w:shd w:val="clear" w:color="auto" w:fill="auto"/>
        <w:tabs>
          <w:tab w:val="left" w:pos="7740"/>
          <w:tab w:val="clear" w:pos="426"/>
        </w:tabs>
        <w:adjustRightInd/>
        <w:snapToGrid/>
        <w:jc w:val="left"/>
        <w:rPr>
          <w:rFonts w:hAnsi="宋体" w:cs="Times New Roman"/>
          <w:kern w:val="2"/>
          <w:szCs w:val="21"/>
        </w:rPr>
      </w:pPr>
    </w:p>
    <w:p>
      <w:pPr>
        <w:shd w:val="clear" w:color="auto" w:fill="auto"/>
        <w:tabs>
          <w:tab w:val="left" w:pos="7740"/>
          <w:tab w:val="clear" w:pos="426"/>
        </w:tabs>
        <w:adjustRightInd/>
        <w:snapToGrid/>
        <w:jc w:val="left"/>
        <w:rPr>
          <w:rFonts w:hAnsi="宋体" w:cs="Times New Roman"/>
          <w:kern w:val="2"/>
          <w:szCs w:val="21"/>
        </w:rPr>
      </w:pPr>
      <w:r>
        <w:rPr>
          <w:rFonts w:hint="eastAsia" w:hAnsi="宋体" w:cs="Times New Roman"/>
          <w:kern w:val="2"/>
          <w:szCs w:val="21"/>
        </w:rPr>
        <w:t>……方全称（盖章）：</w:t>
      </w:r>
      <w:r>
        <w:rPr>
          <w:rFonts w:hAnsi="宋体" w:cs="Times New Roman"/>
          <w:kern w:val="2"/>
          <w:szCs w:val="21"/>
          <w:u w:val="single"/>
        </w:rPr>
        <w:t xml:space="preserve">        </w:t>
      </w:r>
    </w:p>
    <w:p>
      <w:pPr>
        <w:shd w:val="clear" w:color="auto" w:fill="auto"/>
        <w:tabs>
          <w:tab w:val="left" w:pos="7740"/>
          <w:tab w:val="clear" w:pos="426"/>
        </w:tabs>
        <w:adjustRightInd/>
        <w:snapToGrid/>
        <w:jc w:val="left"/>
        <w:rPr>
          <w:rFonts w:hAnsi="宋体" w:cs="Times New Roman"/>
          <w:kern w:val="2"/>
          <w:szCs w:val="21"/>
          <w:u w:val="single"/>
        </w:rPr>
      </w:pPr>
      <w:r>
        <w:rPr>
          <w:rFonts w:hint="eastAsia" w:hAnsi="宋体" w:cs="Times New Roman"/>
          <w:kern w:val="2"/>
          <w:szCs w:val="21"/>
        </w:rPr>
        <w:t>法定代表人（签字）：</w:t>
      </w:r>
      <w:r>
        <w:rPr>
          <w:rFonts w:hint="eastAsia" w:hAnsi="宋体" w:cs="Times New Roman"/>
          <w:kern w:val="2"/>
          <w:szCs w:val="21"/>
          <w:u w:val="single"/>
        </w:rPr>
        <w:t xml:space="preserve"> </w:t>
      </w:r>
      <w:r>
        <w:rPr>
          <w:rFonts w:hAnsi="宋体" w:cs="Times New Roman"/>
          <w:kern w:val="2"/>
          <w:szCs w:val="21"/>
          <w:u w:val="single"/>
        </w:rPr>
        <w:t xml:space="preserve">       </w:t>
      </w:r>
    </w:p>
    <w:p>
      <w:pPr>
        <w:shd w:val="clear" w:color="auto" w:fill="auto"/>
        <w:tabs>
          <w:tab w:val="left" w:pos="7740"/>
          <w:tab w:val="clear" w:pos="426"/>
        </w:tabs>
        <w:adjustRightInd/>
        <w:snapToGrid/>
        <w:jc w:val="left"/>
        <w:rPr>
          <w:rFonts w:hAnsi="宋体" w:cs="Times New Roman"/>
          <w:kern w:val="2"/>
          <w:szCs w:val="21"/>
        </w:rPr>
      </w:pPr>
      <w:r>
        <w:rPr>
          <w:rFonts w:hint="eastAsia" w:hAnsi="宋体" w:cs="Times New Roman"/>
          <w:kern w:val="2"/>
          <w:szCs w:val="21"/>
          <w:u w:val="single"/>
        </w:rPr>
        <w:t xml:space="preserve"> </w:t>
      </w:r>
      <w:r>
        <w:rPr>
          <w:rFonts w:hAnsi="宋体" w:cs="Times New Roman"/>
          <w:kern w:val="2"/>
          <w:szCs w:val="21"/>
          <w:u w:val="single"/>
        </w:rPr>
        <w:t xml:space="preserve">    </w:t>
      </w:r>
      <w:r>
        <w:rPr>
          <w:rFonts w:hint="eastAsia" w:hAnsi="宋体" w:cs="Times New Roman"/>
          <w:kern w:val="2"/>
          <w:szCs w:val="21"/>
          <w:u w:val="single"/>
        </w:rPr>
        <w:t xml:space="preserve">  </w:t>
      </w:r>
      <w:r>
        <w:rPr>
          <w:rFonts w:hint="eastAsia" w:hAnsi="宋体" w:cs="Times New Roman"/>
          <w:kern w:val="2"/>
          <w:szCs w:val="21"/>
        </w:rPr>
        <w:t>年</w:t>
      </w:r>
      <w:r>
        <w:rPr>
          <w:rFonts w:hint="eastAsia" w:hAnsi="宋体" w:cs="Times New Roman"/>
          <w:kern w:val="2"/>
          <w:szCs w:val="21"/>
          <w:u w:val="single"/>
        </w:rPr>
        <w:t xml:space="preserve"> </w:t>
      </w:r>
      <w:r>
        <w:rPr>
          <w:rFonts w:hAnsi="宋体" w:cs="Times New Roman"/>
          <w:kern w:val="2"/>
          <w:szCs w:val="21"/>
          <w:u w:val="single"/>
        </w:rPr>
        <w:t xml:space="preserve">  </w:t>
      </w:r>
      <w:r>
        <w:rPr>
          <w:rFonts w:hint="eastAsia" w:hAnsi="宋体" w:cs="Times New Roman"/>
          <w:kern w:val="2"/>
          <w:szCs w:val="21"/>
          <w:u w:val="single"/>
        </w:rPr>
        <w:t xml:space="preserve">  </w:t>
      </w:r>
      <w:r>
        <w:rPr>
          <w:rFonts w:hint="eastAsia" w:hAnsi="宋体" w:cs="Times New Roman"/>
          <w:kern w:val="2"/>
          <w:szCs w:val="21"/>
        </w:rPr>
        <w:t>月</w:t>
      </w:r>
      <w:r>
        <w:rPr>
          <w:rFonts w:hint="eastAsia" w:hAnsi="宋体" w:cs="Times New Roman"/>
          <w:kern w:val="2"/>
          <w:szCs w:val="21"/>
          <w:u w:val="single"/>
        </w:rPr>
        <w:t xml:space="preserve">  </w:t>
      </w:r>
      <w:r>
        <w:rPr>
          <w:rFonts w:hAnsi="宋体" w:cs="Times New Roman"/>
          <w:kern w:val="2"/>
          <w:szCs w:val="21"/>
          <w:u w:val="single"/>
        </w:rPr>
        <w:t xml:space="preserve">  </w:t>
      </w:r>
      <w:r>
        <w:rPr>
          <w:rFonts w:hint="eastAsia" w:hAnsi="宋体" w:cs="Times New Roman"/>
          <w:kern w:val="2"/>
          <w:szCs w:val="21"/>
          <w:u w:val="single"/>
        </w:rPr>
        <w:t xml:space="preserve"> </w:t>
      </w:r>
      <w:r>
        <w:rPr>
          <w:rFonts w:hint="eastAsia" w:hAnsi="宋体" w:cs="Times New Roman"/>
          <w:kern w:val="2"/>
          <w:szCs w:val="21"/>
        </w:rPr>
        <w:t>日</w:t>
      </w:r>
    </w:p>
    <w:p>
      <w:pPr>
        <w:shd w:val="clear" w:color="auto" w:fill="auto"/>
        <w:tabs>
          <w:tab w:val="left" w:pos="7740"/>
          <w:tab w:val="clear" w:pos="426"/>
        </w:tabs>
        <w:adjustRightInd/>
        <w:snapToGrid/>
        <w:jc w:val="left"/>
        <w:rPr>
          <w:rFonts w:hAnsi="宋体" w:cs="Times New Roman"/>
          <w:kern w:val="2"/>
          <w:szCs w:val="21"/>
        </w:rPr>
      </w:pPr>
    </w:p>
    <w:p>
      <w:pPr>
        <w:widowControl w:val="0"/>
        <w:shd w:val="clear" w:color="auto" w:fill="auto"/>
        <w:tabs>
          <w:tab w:val="left" w:pos="7740"/>
          <w:tab w:val="clear" w:pos="426"/>
        </w:tabs>
        <w:adjustRightInd/>
        <w:snapToGrid/>
        <w:ind w:left="617" w:hanging="617" w:hangingChars="294"/>
        <w:rPr>
          <w:rFonts w:hAnsi="宋体" w:cs="Times New Roman"/>
          <w:kern w:val="2"/>
          <w:szCs w:val="21"/>
        </w:rPr>
      </w:pPr>
      <w:r>
        <w:rPr>
          <w:rFonts w:hint="eastAsia" w:hAnsi="宋体" w:cs="Times New Roman"/>
          <w:kern w:val="2"/>
          <w:szCs w:val="21"/>
        </w:rPr>
        <w:t>注：</w:t>
      </w:r>
    </w:p>
    <w:p>
      <w:pPr>
        <w:widowControl w:val="0"/>
        <w:shd w:val="clear" w:color="auto" w:fill="auto"/>
        <w:tabs>
          <w:tab w:val="left" w:pos="7740"/>
          <w:tab w:val="clear" w:pos="426"/>
        </w:tabs>
        <w:adjustRightInd/>
        <w:snapToGrid/>
        <w:ind w:left="617" w:hanging="617" w:hangingChars="294"/>
        <w:rPr>
          <w:rFonts w:hAnsi="宋体" w:cs="Times New Roman"/>
          <w:kern w:val="2"/>
          <w:szCs w:val="21"/>
        </w:rPr>
      </w:pPr>
      <w:r>
        <w:rPr>
          <w:rFonts w:hint="eastAsia" w:hAnsi="宋体" w:cs="Times New Roman"/>
          <w:kern w:val="2"/>
          <w:szCs w:val="21"/>
        </w:rPr>
        <w:t>1.投标人投标时应签订本协议，协议各方成员应在本协议上共同盖章确认。</w:t>
      </w:r>
    </w:p>
    <w:p>
      <w:pPr>
        <w:widowControl w:val="0"/>
        <w:shd w:val="clear" w:color="auto" w:fill="auto"/>
        <w:tabs>
          <w:tab w:val="clear" w:pos="426"/>
        </w:tabs>
        <w:adjustRightInd/>
        <w:snapToGrid/>
        <w:rPr>
          <w:rFonts w:hAnsi="宋体" w:cs="Times New Roman"/>
          <w:kern w:val="2"/>
          <w:szCs w:val="21"/>
        </w:rPr>
      </w:pPr>
      <w:r>
        <w:rPr>
          <w:rFonts w:hint="eastAsia" w:hAnsi="宋体" w:cs="Times New Roman"/>
          <w:kern w:val="2"/>
          <w:szCs w:val="21"/>
        </w:rPr>
        <w:t>2.本协议内容可依据项目实际情况进行修改。此协议将作为签订合同的附件之一。</w:t>
      </w:r>
    </w:p>
    <w:p>
      <w:pPr>
        <w:pStyle w:val="5"/>
        <w:numPr>
          <w:ilvl w:val="0"/>
          <w:numId w:val="35"/>
        </w:numPr>
        <w:tabs>
          <w:tab w:val="clear" w:pos="1680"/>
        </w:tabs>
        <w:ind w:firstLine="566"/>
        <w:jc w:val="left"/>
      </w:pPr>
      <w:r>
        <w:rPr>
          <w:b w:val="0"/>
        </w:rPr>
        <w:br w:type="page"/>
      </w:r>
      <w:r>
        <w:rPr>
          <w:rFonts w:hint="eastAsia"/>
        </w:rPr>
        <w:t>、开标一览表</w:t>
      </w:r>
      <w:r>
        <w:t>(</w:t>
      </w:r>
      <w:r>
        <w:rPr>
          <w:rFonts w:hint="eastAsia"/>
        </w:rPr>
        <w:t>报价表</w:t>
      </w:r>
      <w:r>
        <w:t>)</w:t>
      </w:r>
    </w:p>
    <w:p>
      <w:pPr>
        <w:widowControl w:val="0"/>
        <w:shd w:val="clear" w:color="auto" w:fill="auto"/>
        <w:tabs>
          <w:tab w:val="clear" w:pos="426"/>
        </w:tabs>
        <w:adjustRightInd/>
        <w:snapToGrid/>
        <w:spacing w:line="300" w:lineRule="auto"/>
        <w:ind w:firstLine="649"/>
        <w:jc w:val="center"/>
        <w:rPr>
          <w:rFonts w:cs="Times New Roman"/>
          <w:bCs/>
          <w:kern w:val="2"/>
          <w:sz w:val="32"/>
          <w:szCs w:val="32"/>
        </w:rPr>
      </w:pPr>
      <w:r>
        <w:rPr>
          <w:rFonts w:hint="eastAsia" w:cs="Times New Roman"/>
          <w:bCs/>
          <w:kern w:val="2"/>
          <w:sz w:val="32"/>
          <w:szCs w:val="32"/>
        </w:rPr>
        <w:t>开标一览表</w:t>
      </w:r>
      <w:r>
        <w:rPr>
          <w:rFonts w:cs="Times New Roman"/>
          <w:bCs/>
          <w:kern w:val="2"/>
          <w:sz w:val="32"/>
          <w:szCs w:val="32"/>
        </w:rPr>
        <w:t>(</w:t>
      </w:r>
      <w:r>
        <w:rPr>
          <w:rFonts w:hint="eastAsia" w:cs="Times New Roman"/>
          <w:bCs/>
          <w:kern w:val="2"/>
          <w:sz w:val="32"/>
          <w:szCs w:val="32"/>
        </w:rPr>
        <w:t>报价表</w:t>
      </w:r>
      <w:r>
        <w:rPr>
          <w:rFonts w:cs="Times New Roman"/>
          <w:bCs/>
          <w:kern w:val="2"/>
          <w:sz w:val="32"/>
          <w:szCs w:val="32"/>
        </w:rPr>
        <w:t>)</w:t>
      </w:r>
    </w:p>
    <w:p>
      <w:pPr>
        <w:tabs>
          <w:tab w:val="clear" w:pos="426"/>
        </w:tabs>
        <w:jc w:val="left"/>
      </w:pPr>
    </w:p>
    <w:p>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Style w:val="85"/>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3073"/>
        <w:gridCol w:w="3386"/>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48" w:type="pct"/>
            <w:vAlign w:val="center"/>
          </w:tcPr>
          <w:p>
            <w:pPr>
              <w:tabs>
                <w:tab w:val="clear" w:pos="426"/>
              </w:tabs>
              <w:spacing w:line="240" w:lineRule="auto"/>
              <w:jc w:val="center"/>
              <w:rPr>
                <w:rFonts w:hAnsi="宋体"/>
                <w:b/>
                <w:szCs w:val="21"/>
              </w:rPr>
            </w:pPr>
            <w:r>
              <w:rPr>
                <w:rFonts w:hint="eastAsia" w:hAnsi="宋体"/>
                <w:b/>
                <w:szCs w:val="21"/>
              </w:rPr>
              <w:t>序号</w:t>
            </w:r>
          </w:p>
        </w:tc>
        <w:tc>
          <w:tcPr>
            <w:tcW w:w="1648" w:type="pct"/>
            <w:vAlign w:val="center"/>
          </w:tcPr>
          <w:p>
            <w:pPr>
              <w:tabs>
                <w:tab w:val="clear" w:pos="426"/>
              </w:tabs>
              <w:spacing w:line="240" w:lineRule="auto"/>
              <w:jc w:val="center"/>
              <w:rPr>
                <w:rFonts w:hAnsi="宋体"/>
                <w:b/>
                <w:szCs w:val="21"/>
              </w:rPr>
            </w:pPr>
            <w:r>
              <w:rPr>
                <w:rFonts w:hint="eastAsia" w:hAnsi="宋体"/>
                <w:b/>
                <w:szCs w:val="21"/>
              </w:rPr>
              <w:t>项目名称</w:t>
            </w:r>
          </w:p>
        </w:tc>
        <w:tc>
          <w:tcPr>
            <w:tcW w:w="1816" w:type="pct"/>
            <w:vAlign w:val="center"/>
          </w:tcPr>
          <w:p>
            <w:pPr>
              <w:tabs>
                <w:tab w:val="clear" w:pos="426"/>
              </w:tabs>
              <w:spacing w:line="240" w:lineRule="auto"/>
              <w:jc w:val="center"/>
              <w:rPr>
                <w:rFonts w:hAnsi="宋体"/>
                <w:b/>
                <w:szCs w:val="21"/>
              </w:rPr>
            </w:pPr>
            <w:r>
              <w:rPr>
                <w:rFonts w:hint="eastAsia" w:hAnsi="宋体"/>
                <w:b/>
                <w:szCs w:val="21"/>
              </w:rPr>
              <w:t>折扣率（1-下浮率）</w:t>
            </w:r>
          </w:p>
        </w:tc>
        <w:tc>
          <w:tcPr>
            <w:tcW w:w="987" w:type="pct"/>
            <w:vAlign w:val="center"/>
          </w:tcPr>
          <w:p>
            <w:pPr>
              <w:tabs>
                <w:tab w:val="clear" w:pos="426"/>
              </w:tabs>
              <w:spacing w:line="240" w:lineRule="auto"/>
              <w:jc w:val="center"/>
              <w:rPr>
                <w:rFonts w:hAnsi="宋体"/>
                <w:b/>
                <w:szCs w:val="21"/>
              </w:rPr>
            </w:pPr>
            <w:r>
              <w:rPr>
                <w:rFonts w:hint="eastAsia"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48" w:type="pct"/>
            <w:vAlign w:val="center"/>
          </w:tcPr>
          <w:p>
            <w:pPr>
              <w:tabs>
                <w:tab w:val="clear" w:pos="426"/>
              </w:tabs>
              <w:jc w:val="center"/>
              <w:rPr>
                <w:rFonts w:hAnsi="宋体"/>
                <w:bCs/>
                <w:szCs w:val="21"/>
              </w:rPr>
            </w:pPr>
          </w:p>
        </w:tc>
        <w:tc>
          <w:tcPr>
            <w:tcW w:w="1648" w:type="pct"/>
            <w:vAlign w:val="center"/>
          </w:tcPr>
          <w:p>
            <w:pPr>
              <w:tabs>
                <w:tab w:val="clear" w:pos="426"/>
              </w:tabs>
              <w:ind w:firstLine="424"/>
              <w:jc w:val="center"/>
              <w:rPr>
                <w:rFonts w:hAnsi="宋体"/>
                <w:b/>
                <w:szCs w:val="21"/>
              </w:rPr>
            </w:pPr>
          </w:p>
        </w:tc>
        <w:tc>
          <w:tcPr>
            <w:tcW w:w="1816" w:type="pct"/>
            <w:vAlign w:val="center"/>
          </w:tcPr>
          <w:p>
            <w:pPr>
              <w:tabs>
                <w:tab w:val="clear" w:pos="426"/>
              </w:tabs>
              <w:ind w:firstLine="424"/>
              <w:jc w:val="center"/>
              <w:rPr>
                <w:rFonts w:hAnsi="宋体"/>
                <w:b/>
                <w:szCs w:val="21"/>
              </w:rPr>
            </w:pPr>
          </w:p>
        </w:tc>
        <w:tc>
          <w:tcPr>
            <w:tcW w:w="987" w:type="pct"/>
            <w:vAlign w:val="center"/>
          </w:tcPr>
          <w:p>
            <w:pPr>
              <w:tabs>
                <w:tab w:val="clear" w:pos="426"/>
              </w:tabs>
              <w:ind w:firstLine="424"/>
              <w:jc w:val="center"/>
              <w:rPr>
                <w:rFonts w:hAnsi="宋体"/>
                <w:b/>
                <w:szCs w:val="21"/>
              </w:rPr>
            </w:pPr>
          </w:p>
        </w:tc>
      </w:tr>
    </w:tbl>
    <w:p>
      <w:pPr>
        <w:tabs>
          <w:tab w:val="clear" w:pos="426"/>
        </w:tabs>
        <w:spacing w:line="500" w:lineRule="exact"/>
        <w:ind w:firstLine="442"/>
        <w:jc w:val="left"/>
        <w:rPr>
          <w:spacing w:val="4"/>
        </w:rPr>
      </w:pPr>
    </w:p>
    <w:p>
      <w:pPr>
        <w:tabs>
          <w:tab w:val="clear" w:pos="426"/>
        </w:tabs>
        <w:spacing w:line="500" w:lineRule="exact"/>
        <w:ind w:firstLine="442"/>
        <w:jc w:val="left"/>
        <w:rPr>
          <w:u w:val="single"/>
        </w:rPr>
      </w:pPr>
      <w:r>
        <w:rPr>
          <w:rFonts w:hint="eastAsia"/>
          <w:spacing w:val="4"/>
        </w:rPr>
        <w:t>投标供应商名称（</w:t>
      </w:r>
      <w:r>
        <w:rPr>
          <w:rFonts w:hint="eastAsia"/>
        </w:rPr>
        <w:t>单位盖</w:t>
      </w:r>
      <w:r>
        <w:rPr>
          <w:rFonts w:hint="eastAsia"/>
          <w:spacing w:val="4"/>
        </w:rPr>
        <w:t>公章）：</w:t>
      </w:r>
      <w:r>
        <w:rPr>
          <w:spacing w:val="4"/>
          <w:u w:val="single"/>
        </w:rPr>
        <w:t>__________________________</w:t>
      </w:r>
    </w:p>
    <w:p>
      <w:pPr>
        <w:tabs>
          <w:tab w:val="clear" w:pos="426"/>
        </w:tabs>
        <w:spacing w:line="520" w:lineRule="exact"/>
        <w:jc w:val="left"/>
      </w:pPr>
    </w:p>
    <w:p>
      <w:pPr>
        <w:tabs>
          <w:tab w:val="clear" w:pos="426"/>
        </w:tabs>
        <w:spacing w:line="520" w:lineRule="exact"/>
        <w:jc w:val="left"/>
        <w:rPr>
          <w:spacing w:val="4"/>
        </w:rPr>
      </w:pPr>
      <w:r>
        <w:rPr>
          <w:rFonts w:hint="eastAsia"/>
        </w:rPr>
        <w:t>法定代表人或投标供应商授权代表（签名或盖章）：</w:t>
      </w:r>
      <w:r>
        <w:rPr>
          <w:u w:val="single"/>
        </w:rPr>
        <w:t>_____________</w:t>
      </w:r>
      <w:r>
        <w:rPr>
          <w:rFonts w:hint="eastAsia"/>
          <w:spacing w:val="4"/>
        </w:rPr>
        <w:t>职务：</w:t>
      </w:r>
      <w:r>
        <w:rPr>
          <w:spacing w:val="4"/>
          <w:u w:val="single"/>
        </w:rPr>
        <w:t>_________</w:t>
      </w:r>
      <w:r>
        <w:rPr>
          <w:rFonts w:hint="eastAsia"/>
          <w:spacing w:val="4"/>
        </w:rPr>
        <w:t>日期</w:t>
      </w:r>
      <w:r>
        <w:rPr>
          <w:spacing w:val="4"/>
          <w:u w:val="single"/>
        </w:rPr>
        <w:t>__________</w:t>
      </w:r>
    </w:p>
    <w:p>
      <w:pPr>
        <w:tabs>
          <w:tab w:val="clear" w:pos="426"/>
        </w:tabs>
        <w:spacing w:line="400" w:lineRule="exact"/>
        <w:jc w:val="left"/>
        <w:rPr>
          <w:b/>
          <w:bCs/>
          <w:szCs w:val="21"/>
        </w:rPr>
      </w:pPr>
      <w:r>
        <w:rPr>
          <w:rFonts w:hint="eastAsia"/>
          <w:b/>
          <w:bCs/>
          <w:szCs w:val="21"/>
        </w:rPr>
        <w:t>备注：</w:t>
      </w:r>
    </w:p>
    <w:p>
      <w:pPr>
        <w:widowControl w:val="0"/>
        <w:numPr>
          <w:ilvl w:val="1"/>
          <w:numId w:val="39"/>
        </w:numPr>
        <w:shd w:val="clear" w:color="auto" w:fill="auto"/>
        <w:tabs>
          <w:tab w:val="clear" w:pos="426"/>
        </w:tabs>
        <w:adjustRightInd/>
        <w:ind w:left="0" w:firstLine="424" w:firstLineChars="201"/>
        <w:rPr>
          <w:b/>
          <w:bCs/>
          <w:szCs w:val="21"/>
        </w:rPr>
      </w:pPr>
      <w:r>
        <w:rPr>
          <w:rFonts w:hint="eastAsia"/>
          <w:b/>
        </w:rPr>
        <w:t>此表为投标文件的组成部分，须附在正、副本的投标文件中，并另封装一份于开标信封中（信封中须同时提供法定代表人证明书、法定代表人授权委托书、被授权人身份证复印件）。</w:t>
      </w:r>
    </w:p>
    <w:p>
      <w:pPr>
        <w:widowControl w:val="0"/>
        <w:numPr>
          <w:ilvl w:val="1"/>
          <w:numId w:val="39"/>
        </w:numPr>
        <w:shd w:val="clear" w:color="auto" w:fill="auto"/>
        <w:tabs>
          <w:tab w:val="clear" w:pos="426"/>
        </w:tabs>
        <w:adjustRightInd/>
        <w:ind w:left="0" w:firstLine="424" w:firstLineChars="201"/>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pPr>
        <w:widowControl w:val="0"/>
        <w:numPr>
          <w:ilvl w:val="1"/>
          <w:numId w:val="39"/>
        </w:numPr>
        <w:shd w:val="clear" w:color="auto" w:fill="auto"/>
        <w:tabs>
          <w:tab w:val="clear" w:pos="426"/>
        </w:tabs>
        <w:adjustRightInd/>
        <w:ind w:left="0" w:firstLine="424" w:firstLineChars="201"/>
        <w:rPr>
          <w:b/>
        </w:rPr>
      </w:pPr>
      <w:r>
        <w:rPr>
          <w:rFonts w:hint="eastAsia"/>
          <w:b/>
        </w:rPr>
        <w:t>报价要求详见招标文件第三章项目需求-商务需求-3</w:t>
      </w:r>
      <w:r>
        <w:rPr>
          <w:b/>
        </w:rPr>
        <w:t>.</w:t>
      </w:r>
      <w:r>
        <w:rPr>
          <w:rFonts w:hint="eastAsia"/>
          <w:b/>
        </w:rPr>
        <w:t>报价要求。</w:t>
      </w:r>
    </w:p>
    <w:p>
      <w:pPr>
        <w:widowControl w:val="0"/>
        <w:numPr>
          <w:ilvl w:val="1"/>
          <w:numId w:val="39"/>
        </w:numPr>
        <w:shd w:val="clear" w:color="auto" w:fill="auto"/>
        <w:tabs>
          <w:tab w:val="clear" w:pos="426"/>
        </w:tabs>
        <w:adjustRightInd/>
        <w:ind w:left="0" w:firstLine="424" w:firstLineChars="201"/>
        <w:rPr>
          <w:b/>
        </w:rPr>
      </w:pPr>
      <w:r>
        <w:rPr>
          <w:rFonts w:hint="eastAsia"/>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widowControl w:val="0"/>
        <w:shd w:val="clear" w:color="auto" w:fill="auto"/>
        <w:tabs>
          <w:tab w:val="left" w:pos="1200"/>
          <w:tab w:val="clear" w:pos="426"/>
        </w:tabs>
        <w:adjustRightInd/>
        <w:ind w:firstLine="424"/>
        <w:rPr>
          <w:b/>
          <w:bCs/>
          <w:szCs w:val="21"/>
        </w:rPr>
      </w:pPr>
    </w:p>
    <w:p>
      <w:pPr>
        <w:shd w:val="clear" w:color="auto" w:fill="auto"/>
        <w:tabs>
          <w:tab w:val="clear" w:pos="426"/>
        </w:tabs>
        <w:adjustRightInd/>
        <w:snapToGrid/>
        <w:spacing w:line="240" w:lineRule="auto"/>
        <w:jc w:val="left"/>
        <w:rPr>
          <w:b/>
        </w:rPr>
      </w:pPr>
      <w:r>
        <w:rPr>
          <w:b/>
        </w:rPr>
        <w:br w:type="page"/>
      </w:r>
    </w:p>
    <w:p>
      <w:pPr>
        <w:pStyle w:val="5"/>
        <w:numPr>
          <w:ilvl w:val="0"/>
          <w:numId w:val="35"/>
        </w:numPr>
        <w:tabs>
          <w:tab w:val="clear" w:pos="1680"/>
        </w:tabs>
        <w:ind w:firstLine="566"/>
        <w:jc w:val="left"/>
      </w:pPr>
      <w:bookmarkStart w:id="121" w:name="_Toc4943774"/>
      <w:bookmarkStart w:id="122" w:name="_Toc14427251"/>
      <w:bookmarkStart w:id="123" w:name="_Toc36822692"/>
      <w:bookmarkStart w:id="124" w:name="_Toc11165666"/>
      <w:bookmarkStart w:id="125" w:name="_Toc480754209"/>
      <w:bookmarkStart w:id="126" w:name="_Toc480789480"/>
      <w:bookmarkStart w:id="127" w:name="_Toc480756076"/>
      <w:bookmarkStart w:id="128" w:name="_Toc192662843"/>
      <w:bookmarkStart w:id="129" w:name="_Toc275865611"/>
      <w:bookmarkStart w:id="130" w:name="_Toc480755930"/>
      <w:r>
        <w:rPr>
          <w:rFonts w:hint="eastAsia"/>
        </w:rPr>
        <w:t>、实质性响应条款偏离表</w:t>
      </w:r>
      <w:bookmarkEnd w:id="121"/>
      <w:bookmarkEnd w:id="122"/>
      <w:bookmarkEnd w:id="123"/>
      <w:bookmarkEnd w:id="124"/>
    </w:p>
    <w:p>
      <w:pPr>
        <w:widowControl w:val="0"/>
        <w:shd w:val="clear" w:color="auto" w:fill="auto"/>
        <w:tabs>
          <w:tab w:val="clear" w:pos="426"/>
        </w:tabs>
        <w:adjustRightInd/>
        <w:snapToGrid/>
        <w:spacing w:line="300" w:lineRule="auto"/>
        <w:ind w:firstLine="649"/>
        <w:jc w:val="center"/>
        <w:rPr>
          <w:rFonts w:cs="Times New Roman"/>
          <w:bCs/>
          <w:kern w:val="2"/>
          <w:sz w:val="32"/>
          <w:szCs w:val="32"/>
        </w:rPr>
      </w:pPr>
      <w:r>
        <w:rPr>
          <w:rFonts w:hint="eastAsia" w:cs="Times New Roman"/>
          <w:bCs/>
          <w:kern w:val="2"/>
          <w:sz w:val="32"/>
          <w:szCs w:val="32"/>
        </w:rPr>
        <w:t>实质性响应条款偏离表</w:t>
      </w:r>
    </w:p>
    <w:p>
      <w:pPr>
        <w:tabs>
          <w:tab w:val="clear" w:pos="426"/>
        </w:tabs>
        <w:jc w:val="left"/>
      </w:pPr>
    </w:p>
    <w:p>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4021"/>
        <w:gridCol w:w="402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pPr>
              <w:spacing w:line="240" w:lineRule="auto"/>
              <w:jc w:val="center"/>
              <w:rPr>
                <w:rFonts w:hAnsi="宋体"/>
                <w:szCs w:val="21"/>
              </w:rPr>
            </w:pPr>
            <w:r>
              <w:rPr>
                <w:rFonts w:hint="eastAsia" w:hAnsi="宋体"/>
                <w:szCs w:val="21"/>
              </w:rPr>
              <w:t>序号</w:t>
            </w:r>
          </w:p>
        </w:tc>
        <w:tc>
          <w:tcPr>
            <w:tcW w:w="2101" w:type="pct"/>
            <w:vAlign w:val="center"/>
          </w:tcPr>
          <w:p>
            <w:pPr>
              <w:spacing w:line="240" w:lineRule="auto"/>
              <w:jc w:val="center"/>
              <w:rPr>
                <w:rFonts w:hAnsi="宋体"/>
                <w:szCs w:val="21"/>
              </w:rPr>
            </w:pPr>
            <w:r>
              <w:rPr>
                <w:rFonts w:hint="eastAsia" w:hAnsi="宋体"/>
                <w:szCs w:val="21"/>
              </w:rPr>
              <w:t>采购人要求内容</w:t>
            </w:r>
          </w:p>
        </w:tc>
        <w:tc>
          <w:tcPr>
            <w:tcW w:w="2101" w:type="pct"/>
            <w:vAlign w:val="center"/>
          </w:tcPr>
          <w:p>
            <w:pPr>
              <w:spacing w:line="240" w:lineRule="auto"/>
              <w:jc w:val="center"/>
              <w:rPr>
                <w:rFonts w:hAnsi="宋体"/>
                <w:szCs w:val="21"/>
              </w:rPr>
            </w:pPr>
            <w:r>
              <w:rPr>
                <w:rFonts w:hint="eastAsia" w:hAnsi="宋体"/>
                <w:szCs w:val="21"/>
              </w:rPr>
              <w:t>供应商响应情况</w:t>
            </w:r>
          </w:p>
        </w:tc>
        <w:tc>
          <w:tcPr>
            <w:tcW w:w="574" w:type="pct"/>
            <w:vAlign w:val="center"/>
          </w:tcPr>
          <w:p>
            <w:pPr>
              <w:spacing w:line="240" w:lineRule="auto"/>
              <w:jc w:val="center"/>
              <w:rPr>
                <w:rFonts w:hAnsi="宋体"/>
                <w:szCs w:val="21"/>
              </w:rPr>
            </w:pPr>
            <w:r>
              <w:rPr>
                <w:rFonts w:hint="eastAsia" w:hAnsi="宋体"/>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pPr>
              <w:spacing w:line="240" w:lineRule="auto"/>
              <w:jc w:val="center"/>
              <w:rPr>
                <w:rFonts w:hAnsi="宋体"/>
                <w:szCs w:val="21"/>
              </w:rPr>
            </w:pPr>
            <w:r>
              <w:rPr>
                <w:rFonts w:hAnsi="宋体"/>
                <w:szCs w:val="21"/>
              </w:rPr>
              <w:t>1</w:t>
            </w:r>
          </w:p>
        </w:tc>
        <w:tc>
          <w:tcPr>
            <w:tcW w:w="2101" w:type="pct"/>
            <w:vAlign w:val="center"/>
          </w:tcPr>
          <w:p>
            <w:pPr>
              <w:widowControl w:val="0"/>
              <w:shd w:val="clear" w:color="auto" w:fill="auto"/>
              <w:tabs>
                <w:tab w:val="clear" w:pos="426"/>
              </w:tabs>
              <w:spacing w:line="240" w:lineRule="auto"/>
              <w:ind w:firstLine="420" w:firstLineChars="200"/>
              <w:rPr>
                <w:rFonts w:hAnsi="宋体" w:cs="Times New Roman"/>
                <w:szCs w:val="21"/>
              </w:rPr>
            </w:pPr>
            <w:r>
              <w:rPr>
                <w:rFonts w:hint="eastAsia"/>
                <w:szCs w:val="21"/>
              </w:rPr>
              <w:t>凡出现《资格性审查表》及《符合性审查表》中情形之一的，将导致投标无效。以评审现场结论为准。</w:t>
            </w:r>
          </w:p>
        </w:tc>
        <w:tc>
          <w:tcPr>
            <w:tcW w:w="2101" w:type="pct"/>
            <w:vAlign w:val="center"/>
          </w:tcPr>
          <w:p>
            <w:pPr>
              <w:widowControl w:val="0"/>
              <w:shd w:val="clear" w:color="auto" w:fill="auto"/>
              <w:tabs>
                <w:tab w:val="clear" w:pos="426"/>
              </w:tabs>
              <w:spacing w:line="240" w:lineRule="auto"/>
              <w:ind w:firstLine="420" w:firstLineChars="200"/>
              <w:jc w:val="left"/>
              <w:rPr>
                <w:rFonts w:hAnsi="宋体" w:cs="Times New Roman"/>
                <w:szCs w:val="21"/>
              </w:rPr>
            </w:pPr>
          </w:p>
        </w:tc>
        <w:tc>
          <w:tcPr>
            <w:tcW w:w="574" w:type="pct"/>
            <w:vAlign w:val="center"/>
          </w:tcPr>
          <w:p>
            <w:pPr>
              <w:spacing w:line="24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4" w:type="pct"/>
            <w:vAlign w:val="center"/>
          </w:tcPr>
          <w:p>
            <w:pPr>
              <w:spacing w:line="240" w:lineRule="auto"/>
              <w:jc w:val="center"/>
              <w:rPr>
                <w:rFonts w:hAnsi="宋体"/>
                <w:szCs w:val="21"/>
              </w:rPr>
            </w:pPr>
            <w:r>
              <w:rPr>
                <w:rFonts w:hAnsi="宋体"/>
                <w:szCs w:val="21"/>
              </w:rPr>
              <w:t>2</w:t>
            </w:r>
          </w:p>
        </w:tc>
        <w:tc>
          <w:tcPr>
            <w:tcW w:w="2101" w:type="pct"/>
            <w:vAlign w:val="center"/>
          </w:tcPr>
          <w:p>
            <w:pPr>
              <w:widowControl w:val="0"/>
              <w:shd w:val="clear" w:color="auto" w:fill="auto"/>
              <w:tabs>
                <w:tab w:val="clear" w:pos="426"/>
              </w:tabs>
              <w:spacing w:line="240" w:lineRule="auto"/>
              <w:ind w:firstLine="420" w:firstLineChars="200"/>
              <w:jc w:val="left"/>
              <w:rPr>
                <w:szCs w:val="21"/>
              </w:rPr>
            </w:pPr>
            <w:r>
              <w:rPr>
                <w:rFonts w:hint="eastAsia" w:hAnsi="宋体" w:cs="仿宋"/>
                <w:kern w:val="2"/>
                <w:szCs w:val="21"/>
              </w:rPr>
              <w:t>服务期：合同签订后一年。</w:t>
            </w:r>
          </w:p>
        </w:tc>
        <w:tc>
          <w:tcPr>
            <w:tcW w:w="2101" w:type="pct"/>
            <w:vAlign w:val="center"/>
          </w:tcPr>
          <w:p>
            <w:pPr>
              <w:widowControl w:val="0"/>
              <w:shd w:val="clear" w:color="auto" w:fill="auto"/>
              <w:tabs>
                <w:tab w:val="clear" w:pos="426"/>
              </w:tabs>
              <w:spacing w:line="240" w:lineRule="auto"/>
              <w:ind w:firstLine="420" w:firstLineChars="200"/>
              <w:jc w:val="left"/>
              <w:rPr>
                <w:szCs w:val="21"/>
              </w:rPr>
            </w:pPr>
          </w:p>
        </w:tc>
        <w:tc>
          <w:tcPr>
            <w:tcW w:w="574" w:type="pct"/>
            <w:vAlign w:val="center"/>
          </w:tcPr>
          <w:p>
            <w:pPr>
              <w:spacing w:line="240" w:lineRule="auto"/>
              <w:ind w:firstLine="424"/>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4" w:type="pct"/>
            <w:vAlign w:val="center"/>
          </w:tcPr>
          <w:p>
            <w:pPr>
              <w:spacing w:line="240" w:lineRule="auto"/>
              <w:jc w:val="center"/>
              <w:rPr>
                <w:rFonts w:hAnsi="宋体"/>
                <w:szCs w:val="21"/>
              </w:rPr>
            </w:pPr>
            <w:r>
              <w:rPr>
                <w:rFonts w:hAnsi="宋体"/>
                <w:szCs w:val="21"/>
              </w:rPr>
              <w:t>3</w:t>
            </w:r>
          </w:p>
        </w:tc>
        <w:tc>
          <w:tcPr>
            <w:tcW w:w="2101" w:type="pct"/>
            <w:vAlign w:val="center"/>
          </w:tcPr>
          <w:p>
            <w:pPr>
              <w:widowControl w:val="0"/>
              <w:shd w:val="clear" w:color="auto" w:fill="auto"/>
              <w:tabs>
                <w:tab w:val="clear" w:pos="426"/>
              </w:tabs>
              <w:spacing w:line="240" w:lineRule="auto"/>
              <w:ind w:firstLine="420" w:firstLineChars="200"/>
              <w:jc w:val="left"/>
              <w:rPr>
                <w:szCs w:val="21"/>
              </w:rPr>
            </w:pPr>
            <w:r>
              <w:rPr>
                <w:rFonts w:hint="eastAsia" w:hAnsi="宋体" w:cs="仿宋"/>
                <w:kern w:val="2"/>
                <w:szCs w:val="21"/>
              </w:rPr>
              <w:t>完全满足</w:t>
            </w:r>
            <w:r>
              <w:rPr>
                <w:rFonts w:hint="eastAsia"/>
                <w:szCs w:val="21"/>
              </w:rPr>
              <w:t>技术需求、商务需求中</w:t>
            </w:r>
            <w:r>
              <w:rPr>
                <w:rFonts w:hint="eastAsia" w:hAnsi="宋体" w:cs="仿宋"/>
                <w:kern w:val="2"/>
                <w:szCs w:val="21"/>
              </w:rPr>
              <w:t>带★号条款。</w:t>
            </w:r>
          </w:p>
        </w:tc>
        <w:tc>
          <w:tcPr>
            <w:tcW w:w="2101" w:type="pct"/>
            <w:vAlign w:val="center"/>
          </w:tcPr>
          <w:p>
            <w:pPr>
              <w:widowControl w:val="0"/>
              <w:shd w:val="clear" w:color="auto" w:fill="auto"/>
              <w:tabs>
                <w:tab w:val="clear" w:pos="426"/>
              </w:tabs>
              <w:spacing w:line="240" w:lineRule="auto"/>
              <w:ind w:firstLine="420" w:firstLineChars="200"/>
              <w:jc w:val="left"/>
              <w:rPr>
                <w:szCs w:val="21"/>
              </w:rPr>
            </w:pPr>
          </w:p>
        </w:tc>
        <w:tc>
          <w:tcPr>
            <w:tcW w:w="574" w:type="pct"/>
            <w:vAlign w:val="center"/>
          </w:tcPr>
          <w:p>
            <w:pPr>
              <w:spacing w:line="240" w:lineRule="auto"/>
              <w:ind w:firstLine="424"/>
              <w:jc w:val="center"/>
              <w:rPr>
                <w:rFonts w:hAnsi="宋体"/>
                <w:b/>
                <w:szCs w:val="21"/>
              </w:rPr>
            </w:pPr>
          </w:p>
        </w:tc>
      </w:tr>
    </w:tbl>
    <w:p>
      <w:pPr>
        <w:pStyle w:val="143"/>
        <w:ind w:firstLine="0" w:firstLineChars="0"/>
        <w:jc w:val="left"/>
      </w:pPr>
      <w:r>
        <w:rPr>
          <w:rFonts w:hint="eastAsia"/>
        </w:rPr>
        <w:t>注：</w:t>
      </w:r>
      <w:r>
        <w:t>1.</w:t>
      </w:r>
      <w:r>
        <w:rPr>
          <w:rFonts w:hint="eastAsia"/>
        </w:rPr>
        <w:t>上表所列内容为不可负偏离条款，如投标供应商该部分内容出现负偏离或未对该部分内容进行响应，将按照符合性检查表作无效标处理；</w:t>
      </w:r>
    </w:p>
    <w:p>
      <w:pPr>
        <w:ind w:firstLine="411" w:firstLineChars="195"/>
        <w:jc w:val="left"/>
        <w:rPr>
          <w:b/>
        </w:rPr>
      </w:pPr>
      <w:r>
        <w:rPr>
          <w:b/>
        </w:rPr>
        <w:t>2.</w:t>
      </w:r>
      <w:r>
        <w:rPr>
          <w:rFonts w:hint="eastAsia"/>
          <w:b/>
        </w:rPr>
        <w:t>“偏离情况”一栏应如实填写“正偏离”、“负偏离”或“无偏离”。</w:t>
      </w:r>
    </w:p>
    <w:p>
      <w:pPr>
        <w:tabs>
          <w:tab w:val="clear" w:pos="426"/>
        </w:tabs>
        <w:spacing w:line="500" w:lineRule="exact"/>
        <w:rPr>
          <w:rFonts w:ascii="Times New Roman" w:cs="Times New Roman"/>
          <w:u w:val="single"/>
        </w:rPr>
      </w:pPr>
      <w:r>
        <w:rPr>
          <w:rFonts w:ascii="Times New Roman" w:cs="Times New Roman"/>
          <w:spacing w:val="4"/>
        </w:rPr>
        <w:t>投标人名称（</w:t>
      </w:r>
      <w:r>
        <w:rPr>
          <w:rFonts w:ascii="Times New Roman" w:cs="Times New Roman"/>
        </w:rPr>
        <w:t>单位盖</w:t>
      </w:r>
      <w:r>
        <w:rPr>
          <w:rFonts w:ascii="Times New Roman" w:cs="Times New Roman"/>
          <w:spacing w:val="4"/>
        </w:rPr>
        <w:t>公章）：</w:t>
      </w:r>
      <w:r>
        <w:rPr>
          <w:rFonts w:ascii="Times New Roman" w:cs="Times New Roman"/>
          <w:spacing w:val="4"/>
          <w:u w:val="single"/>
        </w:rPr>
        <w:t>__________________________________________________</w:t>
      </w:r>
    </w:p>
    <w:p>
      <w:pPr>
        <w:tabs>
          <w:tab w:val="clear" w:pos="426"/>
        </w:tabs>
        <w:spacing w:line="520" w:lineRule="exact"/>
        <w:rPr>
          <w:rFonts w:ascii="Times New Roman" w:cs="Times New Roman"/>
          <w:spacing w:val="4"/>
        </w:rPr>
      </w:pPr>
      <w:r>
        <w:rPr>
          <w:rFonts w:ascii="Times New Roman" w:cs="Times New Roman"/>
        </w:rPr>
        <w:t>法定代表人或投标人授权代表（签名或盖章）：</w:t>
      </w:r>
      <w:r>
        <w:rPr>
          <w:rFonts w:ascii="Times New Roman" w:cs="Times New Roman"/>
          <w:spacing w:val="4"/>
          <w:u w:val="single"/>
        </w:rPr>
        <w:t>____________</w:t>
      </w:r>
      <w:r>
        <w:rPr>
          <w:rFonts w:ascii="Times New Roman" w:cs="Times New Roman"/>
          <w:spacing w:val="4"/>
        </w:rPr>
        <w:t xml:space="preserve"> 职务：</w:t>
      </w:r>
      <w:r>
        <w:rPr>
          <w:rFonts w:ascii="Times New Roman" w:cs="Times New Roman"/>
          <w:spacing w:val="4"/>
          <w:u w:val="single"/>
        </w:rPr>
        <w:t>______</w:t>
      </w:r>
      <w:r>
        <w:rPr>
          <w:rFonts w:ascii="Times New Roman" w:cs="Times New Roman"/>
          <w:spacing w:val="4"/>
        </w:rPr>
        <w:t xml:space="preserve"> 日期</w:t>
      </w:r>
      <w:r>
        <w:rPr>
          <w:rFonts w:ascii="Times New Roman" w:cs="Times New Roman"/>
          <w:spacing w:val="4"/>
          <w:u w:val="single"/>
        </w:rPr>
        <w:t>_______</w:t>
      </w:r>
    </w:p>
    <w:p>
      <w:pPr>
        <w:shd w:val="clear" w:color="auto" w:fill="auto"/>
        <w:tabs>
          <w:tab w:val="clear" w:pos="426"/>
        </w:tabs>
        <w:adjustRightInd/>
        <w:snapToGrid/>
        <w:spacing w:line="240" w:lineRule="auto"/>
        <w:jc w:val="left"/>
        <w:rPr>
          <w:szCs w:val="21"/>
          <w:u w:val="single"/>
        </w:rPr>
      </w:pPr>
      <w:r>
        <w:rPr>
          <w:szCs w:val="21"/>
          <w:u w:val="single"/>
        </w:rPr>
        <w:br w:type="page"/>
      </w:r>
    </w:p>
    <w:p>
      <w:pPr>
        <w:pStyle w:val="5"/>
        <w:numPr>
          <w:ilvl w:val="0"/>
          <w:numId w:val="35"/>
        </w:numPr>
        <w:tabs>
          <w:tab w:val="clear" w:pos="1680"/>
        </w:tabs>
        <w:ind w:firstLine="566"/>
        <w:jc w:val="left"/>
      </w:pPr>
      <w:r>
        <w:rPr>
          <w:rFonts w:hint="eastAsia"/>
        </w:rPr>
        <w:t>、</w:t>
      </w:r>
      <w:r>
        <w:t>项目需求响应情况表（实质性条款除外）</w:t>
      </w:r>
    </w:p>
    <w:p>
      <w:pPr>
        <w:widowControl w:val="0"/>
        <w:shd w:val="clear" w:color="auto" w:fill="auto"/>
        <w:tabs>
          <w:tab w:val="clear" w:pos="426"/>
        </w:tabs>
        <w:spacing w:line="300" w:lineRule="auto"/>
        <w:ind w:firstLine="649"/>
        <w:jc w:val="center"/>
        <w:rPr>
          <w:rFonts w:ascii="Times New Roman" w:cs="Times New Roman"/>
          <w:bCs/>
          <w:kern w:val="2"/>
          <w:sz w:val="32"/>
          <w:szCs w:val="32"/>
        </w:rPr>
      </w:pPr>
      <w:r>
        <w:rPr>
          <w:rFonts w:ascii="Times New Roman" w:cs="Times New Roman"/>
          <w:bCs/>
          <w:kern w:val="2"/>
          <w:sz w:val="32"/>
          <w:szCs w:val="32"/>
        </w:rPr>
        <w:t>项目需求响应情况表（实质性条款除外）</w:t>
      </w:r>
    </w:p>
    <w:p>
      <w:pPr>
        <w:tabs>
          <w:tab w:val="clear" w:pos="426"/>
        </w:tabs>
        <w:rPr>
          <w:rFonts w:ascii="Times New Roman" w:cs="Times New Roman"/>
        </w:rPr>
      </w:pPr>
    </w:p>
    <w:p>
      <w:pPr>
        <w:tabs>
          <w:tab w:val="clear" w:pos="426"/>
        </w:tabs>
        <w:rPr>
          <w:rFonts w:ascii="Times New Roman" w:cs="Times New Roman"/>
        </w:rPr>
      </w:pPr>
      <w:r>
        <w:rPr>
          <w:rFonts w:ascii="Times New Roman" w:cs="Times New Roman"/>
        </w:rPr>
        <w:t>项目名称：</w:t>
      </w:r>
      <w:r>
        <w:rPr>
          <w:rFonts w:ascii="Times New Roman" w:cs="Times New Roman"/>
          <w:u w:val="single"/>
        </w:rPr>
        <w:t>_____________________________________</w:t>
      </w:r>
      <w:r>
        <w:rPr>
          <w:rFonts w:ascii="Times New Roman" w:cs="Times New Roman"/>
        </w:rPr>
        <w:t>采购项目编号：</w:t>
      </w:r>
      <w:r>
        <w:rPr>
          <w:rFonts w:ascii="Times New Roman" w:cs="Times New Roman"/>
          <w:u w:val="single"/>
        </w:rPr>
        <w:t xml:space="preserve">_______________     </w:t>
      </w:r>
    </w:p>
    <w:tbl>
      <w:tblPr>
        <w:tblStyle w:val="8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200"/>
        <w:gridCol w:w="5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Align w:val="center"/>
          </w:tcPr>
          <w:p>
            <w:pPr>
              <w:spacing w:line="240" w:lineRule="auto"/>
              <w:jc w:val="center"/>
              <w:rPr>
                <w:rFonts w:ascii="Times New Roman" w:cs="Times New Roman"/>
                <w:szCs w:val="21"/>
              </w:rPr>
            </w:pPr>
            <w:r>
              <w:rPr>
                <w:rFonts w:ascii="Times New Roman" w:cs="Times New Roman"/>
                <w:szCs w:val="21"/>
              </w:rPr>
              <w:t>序号</w:t>
            </w:r>
          </w:p>
        </w:tc>
        <w:tc>
          <w:tcPr>
            <w:tcW w:w="3200" w:type="dxa"/>
            <w:vAlign w:val="center"/>
          </w:tcPr>
          <w:p>
            <w:pPr>
              <w:spacing w:line="240" w:lineRule="auto"/>
              <w:jc w:val="center"/>
              <w:rPr>
                <w:rFonts w:ascii="Times New Roman" w:cs="Times New Roman"/>
                <w:szCs w:val="21"/>
              </w:rPr>
            </w:pPr>
            <w:r>
              <w:rPr>
                <w:rFonts w:ascii="Times New Roman" w:cs="Times New Roman"/>
                <w:szCs w:val="21"/>
              </w:rPr>
              <w:t>招标文件要求</w:t>
            </w:r>
          </w:p>
        </w:tc>
        <w:tc>
          <w:tcPr>
            <w:tcW w:w="5537" w:type="dxa"/>
            <w:vAlign w:val="center"/>
          </w:tcPr>
          <w:p>
            <w:pPr>
              <w:spacing w:line="240" w:lineRule="auto"/>
              <w:jc w:val="center"/>
              <w:rPr>
                <w:rFonts w:ascii="Times New Roman" w:cs="Times New Roman"/>
                <w:szCs w:val="21"/>
              </w:rPr>
            </w:pPr>
            <w:r>
              <w:rPr>
                <w:rFonts w:ascii="Times New Roman" w:cs="Times New Roman"/>
                <w:szCs w:val="21"/>
              </w:rPr>
              <w:t>投标文件响应情况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Align w:val="center"/>
          </w:tcPr>
          <w:p>
            <w:pPr>
              <w:spacing w:line="240" w:lineRule="auto"/>
              <w:jc w:val="center"/>
              <w:rPr>
                <w:rFonts w:ascii="Times New Roman" w:cs="Times New Roman"/>
                <w:szCs w:val="21"/>
              </w:rPr>
            </w:pPr>
            <w:r>
              <w:rPr>
                <w:rFonts w:ascii="Times New Roman" w:cs="Times New Roman"/>
                <w:szCs w:val="21"/>
              </w:rPr>
              <w:t>1</w:t>
            </w:r>
          </w:p>
        </w:tc>
        <w:tc>
          <w:tcPr>
            <w:tcW w:w="3200" w:type="dxa"/>
            <w:vAlign w:val="center"/>
          </w:tcPr>
          <w:p>
            <w:pPr>
              <w:spacing w:line="240" w:lineRule="auto"/>
              <w:jc w:val="center"/>
              <w:rPr>
                <w:rFonts w:ascii="Times New Roman" w:cs="Times New Roman"/>
                <w:bCs/>
              </w:rPr>
            </w:pPr>
            <w:r>
              <w:rPr>
                <w:rFonts w:ascii="Times New Roman" w:cs="Times New Roman"/>
              </w:rPr>
              <w:t>招标文件第三章</w:t>
            </w:r>
            <w:r>
              <w:rPr>
                <w:rFonts w:ascii="Times New Roman" w:cs="Times New Roman"/>
                <w:bCs/>
              </w:rPr>
              <w:t>项目</w:t>
            </w:r>
            <w:r>
              <w:rPr>
                <w:rFonts w:ascii="Times New Roman" w:cs="Times New Roman"/>
              </w:rPr>
              <w:t>需求</w:t>
            </w:r>
            <w:r>
              <w:rPr>
                <w:rFonts w:ascii="Times New Roman" w:cs="Times New Roman"/>
                <w:bCs/>
              </w:rPr>
              <w:t>（实质性条款除外）</w:t>
            </w:r>
            <w:r>
              <w:rPr>
                <w:rFonts w:ascii="Times New Roman" w:cs="Times New Roman"/>
              </w:rPr>
              <w:t>的全部内容</w:t>
            </w:r>
          </w:p>
        </w:tc>
        <w:tc>
          <w:tcPr>
            <w:tcW w:w="5537" w:type="dxa"/>
            <w:vAlign w:val="center"/>
          </w:tcPr>
          <w:p>
            <w:pPr>
              <w:spacing w:line="240" w:lineRule="auto"/>
              <w:jc w:val="center"/>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Align w:val="center"/>
          </w:tcPr>
          <w:p>
            <w:pPr>
              <w:spacing w:line="240" w:lineRule="auto"/>
              <w:jc w:val="center"/>
              <w:rPr>
                <w:rFonts w:ascii="Times New Roman" w:cs="Times New Roman"/>
                <w:szCs w:val="21"/>
              </w:rPr>
            </w:pPr>
            <w:r>
              <w:rPr>
                <w:rFonts w:ascii="Times New Roman" w:cs="Times New Roman"/>
                <w:szCs w:val="21"/>
              </w:rPr>
              <w:t>2</w:t>
            </w:r>
          </w:p>
        </w:tc>
        <w:tc>
          <w:tcPr>
            <w:tcW w:w="3200" w:type="dxa"/>
            <w:vAlign w:val="center"/>
          </w:tcPr>
          <w:p>
            <w:pPr>
              <w:spacing w:line="240" w:lineRule="auto"/>
              <w:jc w:val="center"/>
              <w:rPr>
                <w:rFonts w:ascii="Times New Roman" w:cs="Times New Roman"/>
              </w:rPr>
            </w:pPr>
          </w:p>
        </w:tc>
        <w:tc>
          <w:tcPr>
            <w:tcW w:w="5537" w:type="dxa"/>
            <w:vAlign w:val="center"/>
          </w:tcPr>
          <w:p>
            <w:pPr>
              <w:spacing w:line="240" w:lineRule="auto"/>
              <w:jc w:val="center"/>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Align w:val="center"/>
          </w:tcPr>
          <w:p>
            <w:pPr>
              <w:spacing w:line="240" w:lineRule="auto"/>
              <w:jc w:val="center"/>
              <w:rPr>
                <w:rFonts w:ascii="Times New Roman" w:cs="Times New Roman"/>
                <w:szCs w:val="21"/>
              </w:rPr>
            </w:pPr>
            <w:r>
              <w:rPr>
                <w:rFonts w:ascii="Times New Roman" w:cs="Times New Roman"/>
                <w:szCs w:val="21"/>
              </w:rPr>
              <w:t>……</w:t>
            </w:r>
          </w:p>
        </w:tc>
        <w:tc>
          <w:tcPr>
            <w:tcW w:w="3200" w:type="dxa"/>
            <w:vAlign w:val="center"/>
          </w:tcPr>
          <w:p>
            <w:pPr>
              <w:spacing w:line="240" w:lineRule="auto"/>
              <w:jc w:val="center"/>
              <w:rPr>
                <w:rFonts w:ascii="Times New Roman" w:cs="Times New Roman"/>
              </w:rPr>
            </w:pPr>
          </w:p>
        </w:tc>
        <w:tc>
          <w:tcPr>
            <w:tcW w:w="5537" w:type="dxa"/>
            <w:vAlign w:val="center"/>
          </w:tcPr>
          <w:p>
            <w:pPr>
              <w:spacing w:line="240" w:lineRule="auto"/>
              <w:jc w:val="center"/>
              <w:rPr>
                <w:rFonts w:ascii="Times New Roman" w:cs="Times New Roman"/>
              </w:rPr>
            </w:pPr>
          </w:p>
        </w:tc>
      </w:tr>
    </w:tbl>
    <w:p>
      <w:pPr>
        <w:tabs>
          <w:tab w:val="clear" w:pos="426"/>
        </w:tabs>
        <w:ind w:firstLine="424" w:firstLineChars="202"/>
        <w:rPr>
          <w:rFonts w:ascii="Times New Roman" w:cs="Times New Roman"/>
          <w:bCs/>
        </w:rPr>
      </w:pPr>
    </w:p>
    <w:p>
      <w:pPr>
        <w:tabs>
          <w:tab w:val="clear" w:pos="426"/>
        </w:tabs>
        <w:rPr>
          <w:rFonts w:ascii="Times New Roman" w:cs="Times New Roman"/>
          <w:bCs/>
        </w:rPr>
      </w:pPr>
      <w:r>
        <w:rPr>
          <w:rFonts w:ascii="Times New Roman" w:cs="Times New Roman"/>
          <w:bCs/>
        </w:rPr>
        <w:t>填写说明：</w:t>
      </w:r>
    </w:p>
    <w:p>
      <w:pPr>
        <w:tabs>
          <w:tab w:val="clear" w:pos="426"/>
        </w:tabs>
        <w:ind w:firstLine="424" w:firstLineChars="202"/>
        <w:rPr>
          <w:rFonts w:ascii="Times New Roman" w:cs="Times New Roman"/>
          <w:bCs/>
        </w:rPr>
      </w:pPr>
      <w:r>
        <w:rPr>
          <w:rFonts w:ascii="Times New Roman" w:cs="Times New Roman"/>
          <w:bCs/>
        </w:rPr>
        <w:t>1.上表所列内容若出现负偏离，不会导致投标无效。</w:t>
      </w:r>
    </w:p>
    <w:p>
      <w:pPr>
        <w:tabs>
          <w:tab w:val="clear" w:pos="426"/>
        </w:tabs>
        <w:ind w:firstLine="424" w:firstLineChars="202"/>
        <w:rPr>
          <w:rFonts w:ascii="Times New Roman" w:cs="Times New Roman"/>
          <w:bCs/>
        </w:rPr>
      </w:pPr>
      <w:r>
        <w:rPr>
          <w:rFonts w:ascii="Times New Roman" w:cs="Times New Roman"/>
          <w:bCs/>
        </w:rPr>
        <w:t>2.“投标文件响应情况”一栏应如实填写“符合”或“正偏离”或“负偏离”。</w:t>
      </w:r>
    </w:p>
    <w:p>
      <w:pPr>
        <w:tabs>
          <w:tab w:val="clear" w:pos="426"/>
        </w:tabs>
        <w:ind w:firstLine="424" w:firstLineChars="202"/>
        <w:rPr>
          <w:rFonts w:ascii="Times New Roman" w:cs="Times New Roman"/>
          <w:bCs/>
        </w:rPr>
      </w:pPr>
      <w:r>
        <w:rPr>
          <w:rFonts w:ascii="Times New Roman" w:cs="Times New Roman"/>
          <w:bCs/>
        </w:rPr>
        <w:t>（1）“符合”：投标文件响应情况符合招标文件要求。</w:t>
      </w:r>
    </w:p>
    <w:p>
      <w:pPr>
        <w:tabs>
          <w:tab w:val="clear" w:pos="426"/>
        </w:tabs>
        <w:ind w:firstLine="424" w:firstLineChars="202"/>
        <w:rPr>
          <w:rFonts w:ascii="Times New Roman" w:cs="Times New Roman"/>
          <w:bCs/>
        </w:rPr>
      </w:pPr>
      <w:r>
        <w:rPr>
          <w:rFonts w:ascii="Times New Roman" w:cs="Times New Roman"/>
          <w:bCs/>
        </w:rPr>
        <w:t>（2）“正偏离”：投标文件响应情况优于招标文件要求，应作详细说明。</w:t>
      </w:r>
    </w:p>
    <w:p>
      <w:pPr>
        <w:tabs>
          <w:tab w:val="clear" w:pos="426"/>
        </w:tabs>
        <w:ind w:firstLine="424" w:firstLineChars="202"/>
        <w:rPr>
          <w:rFonts w:ascii="Times New Roman" w:cs="Times New Roman"/>
          <w:bCs/>
        </w:rPr>
      </w:pPr>
      <w:r>
        <w:rPr>
          <w:rFonts w:ascii="Times New Roman" w:cs="Times New Roman"/>
          <w:bCs/>
        </w:rPr>
        <w:t>（3）“负偏离”：投标文件响应情况没有达到招标文件要求，应作详细说明。</w:t>
      </w:r>
    </w:p>
    <w:p>
      <w:pPr>
        <w:tabs>
          <w:tab w:val="clear" w:pos="426"/>
        </w:tabs>
        <w:ind w:firstLine="426" w:firstLineChars="202"/>
        <w:rPr>
          <w:rFonts w:ascii="Times New Roman" w:cs="Times New Roman"/>
          <w:b/>
        </w:rPr>
      </w:pPr>
      <w:r>
        <w:rPr>
          <w:rFonts w:ascii="Times New Roman" w:cs="Times New Roman"/>
          <w:b/>
        </w:rPr>
        <w:t>（4）若招标文件要求提供证明材料的，须按要求提供相关证明文件，否则视为负偏离。</w:t>
      </w:r>
    </w:p>
    <w:p>
      <w:pPr>
        <w:tabs>
          <w:tab w:val="clear" w:pos="426"/>
        </w:tabs>
        <w:ind w:firstLine="424" w:firstLineChars="202"/>
        <w:rPr>
          <w:rFonts w:ascii="Times New Roman" w:cs="Times New Roman"/>
          <w:bCs/>
        </w:rPr>
      </w:pPr>
      <w:r>
        <w:rPr>
          <w:rFonts w:ascii="Times New Roman" w:cs="Times New Roman"/>
          <w:bCs/>
        </w:rPr>
        <w:t>3.上表与投标文件其它内容冲突的，以上表为准。</w:t>
      </w:r>
    </w:p>
    <w:p>
      <w:pPr>
        <w:tabs>
          <w:tab w:val="clear" w:pos="426"/>
        </w:tabs>
        <w:ind w:firstLine="424" w:firstLineChars="202"/>
        <w:rPr>
          <w:rFonts w:ascii="Times New Roman" w:cs="Times New Roman"/>
          <w:bCs/>
        </w:rPr>
      </w:pPr>
    </w:p>
    <w:p>
      <w:pPr>
        <w:tabs>
          <w:tab w:val="clear" w:pos="426"/>
        </w:tabs>
        <w:rPr>
          <w:rFonts w:ascii="Times New Roman" w:cs="Times New Roman"/>
          <w:b/>
        </w:rPr>
      </w:pPr>
      <w:r>
        <w:rPr>
          <w:rFonts w:ascii="Times New Roman" w:cs="Times New Roman"/>
          <w:b/>
        </w:rPr>
        <w:t>附件（可选）：关于偏离情况的说明（格式自定）</w:t>
      </w:r>
    </w:p>
    <w:p>
      <w:pPr>
        <w:tabs>
          <w:tab w:val="clear" w:pos="426"/>
        </w:tabs>
        <w:ind w:firstLine="424" w:firstLineChars="202"/>
        <w:rPr>
          <w:rFonts w:ascii="Times New Roman" w:cs="Times New Roman"/>
          <w:bCs/>
        </w:rPr>
      </w:pPr>
    </w:p>
    <w:p>
      <w:pPr>
        <w:tabs>
          <w:tab w:val="clear" w:pos="426"/>
        </w:tabs>
        <w:spacing w:line="500" w:lineRule="exact"/>
        <w:rPr>
          <w:rFonts w:ascii="Times New Roman" w:cs="Times New Roman"/>
          <w:u w:val="single"/>
        </w:rPr>
      </w:pPr>
      <w:r>
        <w:rPr>
          <w:rFonts w:ascii="Times New Roman" w:cs="Times New Roman"/>
          <w:spacing w:val="4"/>
        </w:rPr>
        <w:t>投标人名称（</w:t>
      </w:r>
      <w:r>
        <w:rPr>
          <w:rFonts w:ascii="Times New Roman" w:cs="Times New Roman"/>
        </w:rPr>
        <w:t>单位盖</w:t>
      </w:r>
      <w:r>
        <w:rPr>
          <w:rFonts w:ascii="Times New Roman" w:cs="Times New Roman"/>
          <w:spacing w:val="4"/>
        </w:rPr>
        <w:t>公章）：</w:t>
      </w:r>
      <w:r>
        <w:rPr>
          <w:rFonts w:ascii="Times New Roman" w:cs="Times New Roman"/>
          <w:spacing w:val="4"/>
          <w:u w:val="single"/>
        </w:rPr>
        <w:t>__________________________________________________</w:t>
      </w:r>
    </w:p>
    <w:p>
      <w:pPr>
        <w:tabs>
          <w:tab w:val="clear" w:pos="426"/>
        </w:tabs>
        <w:spacing w:line="520" w:lineRule="exact"/>
        <w:rPr>
          <w:rFonts w:ascii="Times New Roman" w:cs="Times New Roman"/>
          <w:spacing w:val="4"/>
        </w:rPr>
      </w:pPr>
      <w:r>
        <w:rPr>
          <w:rFonts w:ascii="Times New Roman" w:cs="Times New Roman"/>
        </w:rPr>
        <w:t>法定代表人或投标人授权代表（签名或盖章）：</w:t>
      </w:r>
      <w:r>
        <w:rPr>
          <w:rFonts w:ascii="Times New Roman" w:cs="Times New Roman"/>
          <w:spacing w:val="4"/>
          <w:u w:val="single"/>
        </w:rPr>
        <w:t>____________</w:t>
      </w:r>
      <w:r>
        <w:rPr>
          <w:rFonts w:ascii="Times New Roman" w:cs="Times New Roman"/>
          <w:spacing w:val="4"/>
        </w:rPr>
        <w:t xml:space="preserve"> 职务：</w:t>
      </w:r>
      <w:r>
        <w:rPr>
          <w:rFonts w:ascii="Times New Roman" w:cs="Times New Roman"/>
          <w:spacing w:val="4"/>
          <w:u w:val="single"/>
        </w:rPr>
        <w:t>______</w:t>
      </w:r>
      <w:r>
        <w:rPr>
          <w:rFonts w:ascii="Times New Roman" w:cs="Times New Roman"/>
          <w:spacing w:val="4"/>
        </w:rPr>
        <w:t xml:space="preserve"> 日期</w:t>
      </w:r>
      <w:r>
        <w:rPr>
          <w:rFonts w:ascii="Times New Roman" w:cs="Times New Roman"/>
          <w:spacing w:val="4"/>
          <w:u w:val="single"/>
        </w:rPr>
        <w:t>_______</w:t>
      </w:r>
    </w:p>
    <w:p>
      <w:pPr>
        <w:tabs>
          <w:tab w:val="clear" w:pos="426"/>
        </w:tabs>
        <w:ind w:firstLine="426"/>
        <w:rPr>
          <w:szCs w:val="21"/>
          <w:u w:val="single"/>
        </w:rPr>
      </w:pPr>
    </w:p>
    <w:bookmarkEnd w:id="125"/>
    <w:bookmarkEnd w:id="126"/>
    <w:bookmarkEnd w:id="127"/>
    <w:bookmarkEnd w:id="128"/>
    <w:bookmarkEnd w:id="129"/>
    <w:bookmarkEnd w:id="130"/>
    <w:p>
      <w:bookmarkStart w:id="131" w:name="_Toc43264518"/>
      <w:bookmarkStart w:id="132" w:name="_Toc50703730"/>
      <w:bookmarkStart w:id="133" w:name="_Toc43264525"/>
      <w:bookmarkStart w:id="134" w:name="_Toc50691037"/>
      <w:r>
        <w:br w:type="page"/>
      </w:r>
    </w:p>
    <w:p>
      <w:pPr>
        <w:pStyle w:val="5"/>
        <w:numPr>
          <w:ilvl w:val="0"/>
          <w:numId w:val="35"/>
        </w:numPr>
        <w:tabs>
          <w:tab w:val="clear" w:pos="1680"/>
        </w:tabs>
        <w:ind w:firstLine="566"/>
        <w:jc w:val="left"/>
      </w:pPr>
      <w:bookmarkStart w:id="135" w:name="_Toc36822701"/>
      <w:r>
        <w:rPr>
          <w:rFonts w:hint="eastAsia"/>
        </w:rPr>
        <w:t>、同类项目经验</w:t>
      </w:r>
    </w:p>
    <w:p>
      <w:pPr>
        <w:pStyle w:val="5"/>
        <w:numPr>
          <w:ilvl w:val="0"/>
          <w:numId w:val="35"/>
        </w:numPr>
        <w:tabs>
          <w:tab w:val="clear" w:pos="1680"/>
        </w:tabs>
        <w:ind w:firstLine="566"/>
        <w:jc w:val="left"/>
      </w:pPr>
      <w:r>
        <w:rPr>
          <w:rFonts w:hint="eastAsia"/>
        </w:rPr>
        <w:t>、投标人履约评价</w:t>
      </w:r>
    </w:p>
    <w:p>
      <w:pPr>
        <w:pStyle w:val="5"/>
        <w:numPr>
          <w:ilvl w:val="0"/>
          <w:numId w:val="35"/>
        </w:numPr>
        <w:tabs>
          <w:tab w:val="clear" w:pos="1680"/>
        </w:tabs>
        <w:ind w:firstLine="566"/>
        <w:jc w:val="left"/>
      </w:pPr>
      <w:r>
        <w:rPr>
          <w:rFonts w:hint="eastAsia"/>
        </w:rPr>
        <w:t>、管理体系认证情况</w:t>
      </w:r>
    </w:p>
    <w:p>
      <w:pPr>
        <w:pStyle w:val="5"/>
        <w:numPr>
          <w:ilvl w:val="0"/>
          <w:numId w:val="35"/>
        </w:numPr>
        <w:tabs>
          <w:tab w:val="clear" w:pos="1680"/>
        </w:tabs>
        <w:ind w:firstLine="566"/>
        <w:jc w:val="left"/>
      </w:pPr>
      <w:r>
        <w:rPr>
          <w:rFonts w:hint="eastAsia"/>
        </w:rPr>
        <w:t>、产品认证情况</w:t>
      </w:r>
    </w:p>
    <w:p>
      <w:pPr>
        <w:pStyle w:val="5"/>
        <w:numPr>
          <w:ilvl w:val="0"/>
          <w:numId w:val="35"/>
        </w:numPr>
        <w:tabs>
          <w:tab w:val="clear" w:pos="1680"/>
        </w:tabs>
        <w:ind w:firstLine="566"/>
        <w:jc w:val="left"/>
      </w:pPr>
      <w:r>
        <w:rPr>
          <w:rFonts w:hint="eastAsia"/>
        </w:rPr>
        <w:t>、食品安全保险</w:t>
      </w:r>
    </w:p>
    <w:p>
      <w:pPr>
        <w:pStyle w:val="5"/>
        <w:numPr>
          <w:ilvl w:val="0"/>
          <w:numId w:val="35"/>
        </w:numPr>
        <w:tabs>
          <w:tab w:val="clear" w:pos="1680"/>
        </w:tabs>
        <w:ind w:firstLine="566"/>
        <w:jc w:val="left"/>
      </w:pPr>
      <w:r>
        <w:rPr>
          <w:rFonts w:hint="eastAsia"/>
        </w:rPr>
        <w:t>、食品溯源系统</w:t>
      </w:r>
    </w:p>
    <w:p>
      <w:pPr>
        <w:pStyle w:val="5"/>
        <w:numPr>
          <w:ilvl w:val="0"/>
          <w:numId w:val="35"/>
        </w:numPr>
        <w:ind w:firstLine="566"/>
        <w:jc w:val="left"/>
      </w:pPr>
      <w:r>
        <w:rPr>
          <w:rFonts w:hint="eastAsia"/>
        </w:rPr>
        <w:t>、项目服务方案</w:t>
      </w:r>
    </w:p>
    <w:p>
      <w:pPr>
        <w:pStyle w:val="5"/>
        <w:numPr>
          <w:ilvl w:val="0"/>
          <w:numId w:val="35"/>
        </w:numPr>
        <w:ind w:firstLine="566"/>
        <w:jc w:val="left"/>
      </w:pPr>
      <w:r>
        <w:rPr>
          <w:rFonts w:hint="eastAsia"/>
        </w:rPr>
        <w:t>、配送保障能力</w:t>
      </w:r>
    </w:p>
    <w:p>
      <w:pPr>
        <w:pStyle w:val="5"/>
        <w:numPr>
          <w:ilvl w:val="0"/>
          <w:numId w:val="35"/>
        </w:numPr>
        <w:ind w:firstLine="566"/>
        <w:jc w:val="left"/>
      </w:pPr>
      <w:r>
        <w:rPr>
          <w:rFonts w:hint="eastAsia"/>
          <w:bCs w:val="0"/>
        </w:rPr>
        <w:t>、</w:t>
      </w:r>
      <w:r>
        <w:rPr>
          <w:rFonts w:hint="eastAsia"/>
        </w:rPr>
        <w:t>服务配套的设备</w:t>
      </w:r>
    </w:p>
    <w:p>
      <w:pPr>
        <w:pStyle w:val="5"/>
        <w:numPr>
          <w:ilvl w:val="0"/>
          <w:numId w:val="35"/>
        </w:numPr>
        <w:ind w:firstLine="566"/>
        <w:jc w:val="left"/>
      </w:pPr>
      <w:r>
        <w:rPr>
          <w:rFonts w:hint="eastAsia"/>
        </w:rPr>
        <w:t>、第三方食材检测</w:t>
      </w:r>
    </w:p>
    <w:p>
      <w:pPr>
        <w:pStyle w:val="5"/>
        <w:numPr>
          <w:ilvl w:val="0"/>
          <w:numId w:val="35"/>
        </w:numPr>
        <w:ind w:firstLine="566"/>
        <w:jc w:val="left"/>
      </w:pPr>
      <w:r>
        <w:rPr>
          <w:rFonts w:hint="eastAsia"/>
        </w:rPr>
        <w:t>、基地建设</w:t>
      </w:r>
    </w:p>
    <w:p>
      <w:pPr>
        <w:pStyle w:val="5"/>
        <w:numPr>
          <w:ilvl w:val="0"/>
          <w:numId w:val="35"/>
        </w:numPr>
        <w:ind w:firstLine="566"/>
        <w:jc w:val="left"/>
      </w:pPr>
      <w:r>
        <w:rPr>
          <w:rFonts w:hint="eastAsia"/>
        </w:rPr>
        <w:t>、拟派本项目团队人员</w:t>
      </w:r>
    </w:p>
    <w:p>
      <w:pPr>
        <w:pStyle w:val="5"/>
        <w:numPr>
          <w:ilvl w:val="0"/>
          <w:numId w:val="35"/>
        </w:numPr>
        <w:ind w:firstLine="566"/>
        <w:jc w:val="left"/>
      </w:pPr>
      <w:r>
        <w:rPr>
          <w:rFonts w:hint="eastAsia"/>
        </w:rPr>
        <w:t>、拟投入本项目配送场所</w:t>
      </w:r>
    </w:p>
    <w:p>
      <w:pPr>
        <w:pStyle w:val="5"/>
        <w:numPr>
          <w:ilvl w:val="0"/>
          <w:numId w:val="35"/>
        </w:numPr>
        <w:ind w:firstLine="566"/>
        <w:jc w:val="left"/>
      </w:pPr>
      <w:r>
        <w:rPr>
          <w:rFonts w:hint="eastAsia"/>
        </w:rPr>
        <w:t>、冷库面积</w:t>
      </w:r>
    </w:p>
    <w:p>
      <w:pPr>
        <w:rPr>
          <w:b/>
          <w:bCs/>
        </w:rPr>
      </w:pPr>
      <w:r>
        <w:rPr>
          <w:rFonts w:hint="eastAsia"/>
          <w:b/>
          <w:bCs/>
        </w:rPr>
        <w:t>（以上投标文件编制节点，请依据《评分细则表》的要求提交相应资料，格式自定）</w:t>
      </w:r>
    </w:p>
    <w:p>
      <w:pPr>
        <w:shd w:val="clear" w:color="auto" w:fill="auto"/>
        <w:tabs>
          <w:tab w:val="clear" w:pos="426"/>
        </w:tabs>
        <w:adjustRightInd/>
        <w:snapToGrid/>
        <w:spacing w:line="240" w:lineRule="auto"/>
        <w:jc w:val="left"/>
      </w:pPr>
      <w:r>
        <w:br w:type="page"/>
      </w:r>
    </w:p>
    <w:p>
      <w:pPr>
        <w:pStyle w:val="5"/>
        <w:numPr>
          <w:ilvl w:val="0"/>
          <w:numId w:val="35"/>
        </w:numPr>
        <w:tabs>
          <w:tab w:val="clear" w:pos="1680"/>
        </w:tabs>
        <w:ind w:firstLine="566"/>
        <w:jc w:val="left"/>
      </w:pPr>
      <w:r>
        <w:rPr>
          <w:rFonts w:hint="eastAsia"/>
        </w:rPr>
        <w:t>、招标代理服务费承诺书</w:t>
      </w:r>
      <w:bookmarkEnd w:id="135"/>
    </w:p>
    <w:p>
      <w:pPr>
        <w:widowControl w:val="0"/>
        <w:shd w:val="clear" w:color="auto" w:fill="auto"/>
        <w:tabs>
          <w:tab w:val="clear" w:pos="426"/>
        </w:tabs>
        <w:adjustRightInd/>
        <w:snapToGrid/>
        <w:spacing w:line="300" w:lineRule="auto"/>
        <w:ind w:firstLine="649"/>
        <w:jc w:val="center"/>
        <w:rPr>
          <w:rFonts w:cs="Times New Roman"/>
          <w:bCs/>
          <w:kern w:val="2"/>
          <w:sz w:val="32"/>
          <w:szCs w:val="32"/>
        </w:rPr>
      </w:pPr>
      <w:r>
        <w:rPr>
          <w:rFonts w:hint="eastAsia" w:cs="Times New Roman"/>
          <w:bCs/>
          <w:kern w:val="2"/>
          <w:sz w:val="32"/>
          <w:szCs w:val="32"/>
        </w:rPr>
        <w:t>招标代理服务费承诺书</w:t>
      </w:r>
    </w:p>
    <w:p>
      <w:pPr>
        <w:tabs>
          <w:tab w:val="clear" w:pos="426"/>
        </w:tabs>
        <w:adjustRightInd/>
        <w:snapToGrid/>
        <w:ind w:firstLine="424"/>
        <w:rPr>
          <w:b/>
        </w:rPr>
      </w:pPr>
    </w:p>
    <w:p>
      <w:pPr>
        <w:tabs>
          <w:tab w:val="clear" w:pos="426"/>
        </w:tabs>
        <w:adjustRightInd/>
        <w:snapToGrid/>
        <w:rPr>
          <w:b/>
        </w:rPr>
      </w:pPr>
      <w:r>
        <w:rPr>
          <w:rFonts w:hint="eastAsia"/>
          <w:b/>
        </w:rPr>
        <w:t>深圳市深水水务咨询有限公司：</w:t>
      </w:r>
    </w:p>
    <w:p>
      <w:pPr>
        <w:tabs>
          <w:tab w:val="clear" w:pos="426"/>
        </w:tabs>
        <w:adjustRightInd/>
        <w:snapToGrid/>
        <w:ind w:firstLine="420" w:firstLineChars="200"/>
        <w:rPr>
          <w:szCs w:val="21"/>
        </w:rPr>
      </w:pPr>
      <w:r>
        <w:rPr>
          <w:rFonts w:hint="eastAsia"/>
        </w:rPr>
        <w:t>本公司</w:t>
      </w:r>
      <w:r>
        <w:rPr>
          <w:u w:val="single"/>
        </w:rPr>
        <w:t>__(</w:t>
      </w:r>
      <w:r>
        <w:rPr>
          <w:rFonts w:hint="eastAsia"/>
          <w:u w:val="single"/>
        </w:rPr>
        <w:t>投标供应商名称</w:t>
      </w:r>
      <w:r>
        <w:rPr>
          <w:u w:val="single"/>
        </w:rPr>
        <w:t>)__</w:t>
      </w:r>
      <w:r>
        <w:rPr>
          <w:rFonts w:hint="eastAsia"/>
        </w:rPr>
        <w:t>在参加</w:t>
      </w:r>
      <w:r>
        <w:rPr>
          <w:rFonts w:hint="eastAsia"/>
          <w:u w:val="single"/>
        </w:rPr>
        <w:t>（项目名称）</w:t>
      </w:r>
      <w:r>
        <w:rPr>
          <w:u w:val="single"/>
        </w:rPr>
        <w:t>_</w:t>
      </w:r>
      <w:r>
        <w:t>(</w:t>
      </w:r>
      <w:r>
        <w:rPr>
          <w:rFonts w:hint="eastAsia"/>
        </w:rPr>
        <w:t>项目编号：</w:t>
      </w:r>
      <w:r>
        <w:rPr>
          <w:u w:val="single"/>
        </w:rPr>
        <w:t>__</w:t>
      </w:r>
      <w:r>
        <w:rPr>
          <w:rFonts w:hint="eastAsia"/>
          <w:u w:val="single"/>
        </w:rPr>
        <w:t>（项目编号）</w:t>
      </w:r>
      <w:r>
        <w:rPr>
          <w:u w:val="single"/>
        </w:rPr>
        <w:t>__</w:t>
      </w:r>
      <w:r>
        <w:t>)</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pPr>
        <w:tabs>
          <w:tab w:val="clear" w:pos="426"/>
        </w:tabs>
        <w:adjustRightInd/>
        <w:snapToGrid/>
        <w:ind w:firstLine="420" w:firstLineChars="200"/>
      </w:pPr>
      <w:r>
        <w:rPr>
          <w:rFonts w:hint="eastAsia"/>
        </w:rPr>
        <w:t>如我公司违反上款承诺，愿凭贵公司开出的相关通知，同意（采购代理机构名称）办理支付手续，愿承担由此引起的一切法律责任。</w:t>
      </w:r>
    </w:p>
    <w:p>
      <w:pPr>
        <w:tabs>
          <w:tab w:val="clear" w:pos="426"/>
        </w:tabs>
        <w:adjustRightInd/>
        <w:snapToGrid/>
        <w:ind w:firstLine="420" w:firstLineChars="200"/>
      </w:pPr>
      <w:r>
        <w:rPr>
          <w:rFonts w:hint="eastAsia"/>
        </w:rPr>
        <w:t>特此承诺</w:t>
      </w:r>
      <w:r>
        <w:t>!</w:t>
      </w:r>
    </w:p>
    <w:p>
      <w:pPr>
        <w:tabs>
          <w:tab w:val="clear" w:pos="426"/>
        </w:tabs>
        <w:adjustRightInd/>
        <w:snapToGrid/>
        <w:ind w:firstLine="420" w:firstLineChars="200"/>
      </w:pPr>
    </w:p>
    <w:p>
      <w:pPr>
        <w:tabs>
          <w:tab w:val="clear" w:pos="426"/>
        </w:tabs>
        <w:adjustRightInd/>
        <w:snapToGrid/>
        <w:ind w:firstLine="420" w:firstLineChars="200"/>
      </w:pPr>
    </w:p>
    <w:p>
      <w:pPr>
        <w:tabs>
          <w:tab w:val="clear" w:pos="426"/>
        </w:tabs>
        <w:ind w:firstLine="426"/>
        <w:rPr>
          <w:u w:val="single"/>
        </w:rPr>
      </w:pPr>
      <w:r>
        <w:rPr>
          <w:rFonts w:hint="eastAsia"/>
        </w:rPr>
        <w:t>单位名称：</w:t>
      </w:r>
      <w:r>
        <w:rPr>
          <w:u w:val="single"/>
        </w:rPr>
        <w:t>_____________________________________________________________</w:t>
      </w:r>
    </w:p>
    <w:p>
      <w:pPr>
        <w:tabs>
          <w:tab w:val="clear" w:pos="426"/>
        </w:tabs>
        <w:ind w:firstLine="426"/>
        <w:rPr>
          <w:u w:val="single"/>
        </w:rPr>
      </w:pPr>
      <w:r>
        <w:rPr>
          <w:rFonts w:hint="eastAsia"/>
        </w:rPr>
        <w:t>法定代表人或投标供应商授权代表（签名或盖章）：</w:t>
      </w:r>
      <w:r>
        <w:rPr>
          <w:u w:val="single"/>
        </w:rPr>
        <w:t>_________________________</w:t>
      </w:r>
    </w:p>
    <w:p>
      <w:pPr>
        <w:tabs>
          <w:tab w:val="clear" w:pos="426"/>
        </w:tabs>
        <w:ind w:firstLine="426"/>
        <w:rPr>
          <w:u w:val="single"/>
        </w:rPr>
      </w:pPr>
      <w:r>
        <w:rPr>
          <w:rFonts w:hint="eastAsia"/>
        </w:rPr>
        <w:t>单位地址：</w:t>
      </w:r>
      <w:r>
        <w:rPr>
          <w:u w:val="single"/>
        </w:rPr>
        <w:t>_____________________________________________________________</w:t>
      </w:r>
    </w:p>
    <w:p>
      <w:pPr>
        <w:tabs>
          <w:tab w:val="clear" w:pos="426"/>
        </w:tabs>
        <w:ind w:firstLine="426"/>
        <w:rPr>
          <w:u w:val="single"/>
        </w:rPr>
      </w:pPr>
      <w:r>
        <w:rPr>
          <w:rFonts w:hint="eastAsia"/>
        </w:rPr>
        <w:t>单位公章：</w:t>
      </w:r>
      <w:r>
        <w:rPr>
          <w:u w:val="single"/>
        </w:rPr>
        <w:t>_____________________________________________________________</w:t>
      </w:r>
    </w:p>
    <w:p>
      <w:pPr>
        <w:tabs>
          <w:tab w:val="clear" w:pos="426"/>
        </w:tabs>
        <w:ind w:firstLine="426"/>
        <w:rPr>
          <w:u w:val="single"/>
        </w:rPr>
      </w:pPr>
      <w:r>
        <w:rPr>
          <w:rFonts w:hint="eastAsia"/>
        </w:rPr>
        <w:t>邮政编码：</w:t>
      </w:r>
      <w:r>
        <w:rPr>
          <w:u w:val="single"/>
        </w:rPr>
        <w:t>_______________________</w:t>
      </w:r>
      <w:r>
        <w:rPr>
          <w:rFonts w:hint="eastAsia"/>
        </w:rPr>
        <w:t>日期：</w:t>
      </w:r>
      <w:r>
        <w:rPr>
          <w:u w:val="single"/>
        </w:rPr>
        <w:t>________________________________</w:t>
      </w:r>
    </w:p>
    <w:p>
      <w:pPr>
        <w:tabs>
          <w:tab w:val="clear" w:pos="426"/>
        </w:tabs>
        <w:ind w:firstLine="426"/>
        <w:rPr>
          <w:u w:val="single"/>
        </w:rPr>
      </w:pPr>
      <w:r>
        <w:rPr>
          <w:rFonts w:hint="eastAsia"/>
        </w:rPr>
        <w:t>联系电话：</w:t>
      </w:r>
      <w:r>
        <w:rPr>
          <w:u w:val="single"/>
        </w:rPr>
        <w:t>_____________________________________________________________</w:t>
      </w:r>
    </w:p>
    <w:p>
      <w:pPr>
        <w:tabs>
          <w:tab w:val="clear" w:pos="426"/>
        </w:tabs>
        <w:ind w:firstLine="426"/>
        <w:rPr>
          <w:u w:val="single"/>
        </w:rPr>
      </w:pPr>
    </w:p>
    <w:p>
      <w:pPr>
        <w:tabs>
          <w:tab w:val="clear" w:pos="426"/>
        </w:tabs>
        <w:ind w:firstLine="442"/>
        <w:rPr>
          <w:spacing w:val="4"/>
          <w:u w:val="single"/>
        </w:rPr>
      </w:pPr>
    </w:p>
    <w:p>
      <w:pPr>
        <w:tabs>
          <w:tab w:val="clear" w:pos="426"/>
        </w:tabs>
        <w:rPr>
          <w:b/>
          <w:szCs w:val="21"/>
        </w:rPr>
      </w:pPr>
      <w:r>
        <w:rPr>
          <w:b/>
        </w:rPr>
        <w:br w:type="page"/>
      </w:r>
    </w:p>
    <w:p>
      <w:pPr>
        <w:widowControl w:val="0"/>
        <w:shd w:val="clear" w:color="auto" w:fill="auto"/>
        <w:tabs>
          <w:tab w:val="clear" w:pos="426"/>
        </w:tabs>
        <w:adjustRightInd/>
        <w:snapToGrid/>
        <w:spacing w:line="300" w:lineRule="auto"/>
        <w:ind w:firstLine="649"/>
        <w:jc w:val="center"/>
        <w:rPr>
          <w:rFonts w:cs="Times New Roman"/>
          <w:bCs/>
          <w:kern w:val="2"/>
          <w:sz w:val="32"/>
          <w:szCs w:val="32"/>
        </w:rPr>
      </w:pPr>
    </w:p>
    <w:p>
      <w:pPr>
        <w:widowControl w:val="0"/>
        <w:shd w:val="clear" w:color="auto" w:fill="auto"/>
        <w:tabs>
          <w:tab w:val="clear" w:pos="426"/>
        </w:tabs>
        <w:adjustRightInd/>
        <w:snapToGrid/>
        <w:spacing w:line="300" w:lineRule="auto"/>
        <w:ind w:firstLine="649"/>
        <w:jc w:val="center"/>
        <w:rPr>
          <w:rFonts w:cs="Times New Roman"/>
          <w:bCs/>
          <w:kern w:val="2"/>
          <w:sz w:val="32"/>
          <w:szCs w:val="32"/>
        </w:rPr>
      </w:pPr>
      <w:r>
        <w:rPr>
          <w:rFonts w:hint="eastAsia" w:cs="Times New Roman"/>
          <w:bCs/>
          <w:kern w:val="2"/>
          <w:sz w:val="32"/>
          <w:szCs w:val="32"/>
        </w:rPr>
        <w:t>招标代理服务费发票开具须知</w:t>
      </w:r>
    </w:p>
    <w:tbl>
      <w:tblPr>
        <w:tblStyle w:val="8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rPr>
            </w:pPr>
            <w:r>
              <w:rPr>
                <w:rFonts w:hint="eastAsia"/>
                <w:b/>
              </w:rPr>
              <w:t>发票类型</w:t>
            </w:r>
          </w:p>
        </w:tc>
        <w:tc>
          <w:tcPr>
            <w:tcW w:w="7363" w:type="dxa"/>
            <w:vAlign w:val="center"/>
          </w:tcPr>
          <w:p>
            <w:pPr>
              <w:tabs>
                <w:tab w:val="clear" w:pos="426"/>
              </w:tabs>
              <w:spacing w:line="520" w:lineRule="exact"/>
              <w:ind w:firstLine="420" w:firstLineChars="200"/>
            </w:pPr>
            <w:r>
              <w:rPr>
                <w:rFonts w:hint="eastAsia"/>
              </w:rPr>
              <w:t>□增值税普通发票</w:t>
            </w:r>
            <w:r>
              <w:t xml:space="preserve">             </w:t>
            </w:r>
            <w:r>
              <w:rPr>
                <w:rFonts w:hint="eastAsia"/>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pPr>
            <w:r>
              <w:rPr>
                <w:rFonts w:hint="eastAsia"/>
              </w:rPr>
              <w:t>如选择增值税专用发票，需提供以下材料，投标时密封于开标信封中：</w:t>
            </w:r>
          </w:p>
          <w:p>
            <w:pPr>
              <w:tabs>
                <w:tab w:val="clear" w:pos="426"/>
              </w:tabs>
              <w:spacing w:line="520" w:lineRule="exact"/>
            </w:pPr>
            <w:r>
              <w:t>1.</w:t>
            </w:r>
            <w:r>
              <w:rPr>
                <w:rFonts w:hint="eastAsia"/>
              </w:rPr>
              <w:t>营业执照、一般纳税人资格认定税务通知书或其他可证明具有该项资格证明文件的复印件，加盖单位公章；</w:t>
            </w:r>
            <w:r>
              <w:t xml:space="preserve"> </w:t>
            </w:r>
          </w:p>
          <w:p>
            <w:pPr>
              <w:tabs>
                <w:tab w:val="clear" w:pos="426"/>
              </w:tabs>
              <w:spacing w:line="520" w:lineRule="exact"/>
            </w:pPr>
            <w:r>
              <w:t>2.</w:t>
            </w:r>
            <w:r>
              <w:rPr>
                <w:rFonts w:hint="eastAsia"/>
              </w:rPr>
              <w:t>客户的开票资料（单位名称、纳税人识别号、地址、电话、开户行全称及账号），加盖单位公章。</w:t>
            </w:r>
          </w:p>
        </w:tc>
      </w:tr>
    </w:tbl>
    <w:p>
      <w:pPr>
        <w:tabs>
          <w:tab w:val="clear" w:pos="426"/>
        </w:tabs>
        <w:ind w:firstLine="424"/>
        <w:rPr>
          <w:b/>
          <w:szCs w:val="21"/>
        </w:rPr>
      </w:pPr>
    </w:p>
    <w:p>
      <w:pPr>
        <w:tabs>
          <w:tab w:val="clear" w:pos="426"/>
        </w:tabs>
        <w:ind w:firstLine="424"/>
        <w:rPr>
          <w:b/>
          <w:szCs w:val="21"/>
        </w:rPr>
      </w:pPr>
    </w:p>
    <w:p>
      <w:pPr>
        <w:tabs>
          <w:tab w:val="clear" w:pos="426"/>
        </w:tabs>
        <w:jc w:val="center"/>
        <w:rPr>
          <w:b/>
          <w:szCs w:val="21"/>
        </w:rPr>
      </w:pPr>
      <w:r>
        <w:rPr>
          <w:rFonts w:hint="eastAsia"/>
          <w:b/>
          <w:szCs w:val="21"/>
        </w:rPr>
        <w:t>附：缴纳招标代理服务费账号：</w:t>
      </w:r>
    </w:p>
    <w:tbl>
      <w:tblPr>
        <w:tblStyle w:val="8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jc w:val="center"/>
              <w:rPr>
                <w:b/>
                <w:szCs w:val="21"/>
              </w:rPr>
            </w:pPr>
            <w:r>
              <w:rPr>
                <w:rFonts w:hint="eastAsia"/>
                <w:b/>
                <w:szCs w:val="21"/>
              </w:rPr>
              <w:t>收款人名称</w:t>
            </w:r>
          </w:p>
        </w:tc>
        <w:tc>
          <w:tcPr>
            <w:tcW w:w="5579" w:type="dxa"/>
            <w:vAlign w:val="center"/>
          </w:tcPr>
          <w:p>
            <w:pPr>
              <w:tabs>
                <w:tab w:val="clear" w:pos="426"/>
              </w:tabs>
              <w:jc w:val="center"/>
              <w:rPr>
                <w:szCs w:val="21"/>
              </w:rPr>
            </w:pPr>
            <w:r>
              <w:rPr>
                <w:rFonts w:hint="eastAsia"/>
                <w:szCs w:val="21"/>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jc w:val="center"/>
              <w:rPr>
                <w:b/>
                <w:szCs w:val="21"/>
              </w:rPr>
            </w:pPr>
            <w:r>
              <w:rPr>
                <w:rFonts w:hint="eastAsia"/>
                <w:b/>
                <w:szCs w:val="21"/>
              </w:rPr>
              <w:t>开户银行</w:t>
            </w:r>
          </w:p>
        </w:tc>
        <w:tc>
          <w:tcPr>
            <w:tcW w:w="5579" w:type="dxa"/>
            <w:vAlign w:val="center"/>
          </w:tcPr>
          <w:p>
            <w:pPr>
              <w:tabs>
                <w:tab w:val="clear" w:pos="426"/>
              </w:tabs>
              <w:jc w:val="center"/>
              <w:rPr>
                <w:b/>
                <w:kern w:val="2"/>
                <w:szCs w:val="21"/>
              </w:rPr>
            </w:pPr>
            <w:r>
              <w:rPr>
                <w:rFonts w:hint="eastAsia"/>
              </w:rPr>
              <w:t>交通银行深圳金叶支行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ind w:firstLine="426"/>
              <w:jc w:val="center"/>
              <w:rPr>
                <w:b/>
                <w:kern w:val="2"/>
                <w:szCs w:val="21"/>
              </w:rPr>
            </w:pPr>
            <w:r>
              <w:rPr>
                <w:rFonts w:hint="eastAsia"/>
                <w:b/>
                <w:szCs w:val="21"/>
              </w:rPr>
              <w:t>账</w:t>
            </w:r>
            <w:r>
              <w:rPr>
                <w:b/>
                <w:szCs w:val="21"/>
              </w:rPr>
              <w:t xml:space="preserve">    </w:t>
            </w:r>
            <w:r>
              <w:rPr>
                <w:rFonts w:hint="eastAsia"/>
                <w:b/>
                <w:szCs w:val="21"/>
              </w:rPr>
              <w:t>号</w:t>
            </w:r>
          </w:p>
        </w:tc>
        <w:tc>
          <w:tcPr>
            <w:tcW w:w="5579" w:type="dxa"/>
            <w:vAlign w:val="center"/>
          </w:tcPr>
          <w:p>
            <w:pPr>
              <w:tabs>
                <w:tab w:val="clear" w:pos="426"/>
              </w:tabs>
              <w:adjustRightInd/>
              <w:snapToGrid/>
              <w:spacing w:line="240" w:lineRule="exact"/>
              <w:jc w:val="center"/>
              <w:rPr>
                <w:b/>
                <w:kern w:val="2"/>
                <w:szCs w:val="21"/>
              </w:rPr>
            </w:pPr>
            <w:r>
              <w:t>443899991010003343618</w:t>
            </w:r>
          </w:p>
        </w:tc>
      </w:tr>
    </w:tbl>
    <w:p>
      <w:pPr>
        <w:tabs>
          <w:tab w:val="clear" w:pos="426"/>
        </w:tabs>
        <w:ind w:firstLine="487"/>
        <w:rPr>
          <w:rFonts w:cs="Arial"/>
          <w:bCs/>
          <w:sz w:val="24"/>
        </w:rPr>
      </w:pPr>
    </w:p>
    <w:p>
      <w:pPr>
        <w:tabs>
          <w:tab w:val="clear" w:pos="426"/>
        </w:tabs>
        <w:ind w:firstLine="487"/>
        <w:rPr>
          <w:rFonts w:cs="Arial"/>
          <w:bCs/>
          <w:sz w:val="24"/>
        </w:rPr>
      </w:pPr>
    </w:p>
    <w:p>
      <w:pPr>
        <w:pStyle w:val="5"/>
        <w:numPr>
          <w:ilvl w:val="0"/>
          <w:numId w:val="35"/>
        </w:numPr>
        <w:tabs>
          <w:tab w:val="clear" w:pos="1680"/>
        </w:tabs>
        <w:ind w:firstLine="485"/>
        <w:jc w:val="left"/>
      </w:pPr>
      <w:r>
        <w:rPr>
          <w:sz w:val="24"/>
        </w:rPr>
        <w:br w:type="page"/>
      </w:r>
      <w:bookmarkEnd w:id="131"/>
      <w:bookmarkEnd w:id="132"/>
      <w:bookmarkEnd w:id="133"/>
      <w:bookmarkEnd w:id="134"/>
      <w:bookmarkStart w:id="136" w:name="_Toc528675207"/>
      <w:bookmarkStart w:id="137" w:name="_Toc36822702"/>
      <w:bookmarkStart w:id="138" w:name="_Toc518464390"/>
      <w:bookmarkStart w:id="139" w:name="_Toc528170834"/>
      <w:r>
        <w:rPr>
          <w:rFonts w:hint="eastAsia"/>
        </w:rPr>
        <w:t>、招标文件要求的其他内容及投标供应商认为需要加以说明的其他内容</w:t>
      </w:r>
      <w:bookmarkEnd w:id="136"/>
      <w:bookmarkEnd w:id="137"/>
      <w:bookmarkEnd w:id="138"/>
      <w:bookmarkEnd w:id="139"/>
    </w:p>
    <w:p>
      <w:pPr>
        <w:tabs>
          <w:tab w:val="clear" w:pos="426"/>
        </w:tabs>
        <w:ind w:firstLine="424" w:firstLineChars="202"/>
        <w:rPr>
          <w:rFonts w:cs="Arial"/>
          <w:bCs/>
          <w:szCs w:val="21"/>
        </w:rPr>
      </w:pPr>
      <w:r>
        <w:rPr>
          <w:rFonts w:hint="eastAsia" w:cs="Arial"/>
          <w:bCs/>
          <w:szCs w:val="21"/>
        </w:rPr>
        <w:t>提供招标公告和评标信息中关于投标供应商的其他相关证明文件（如评标信息中涉及的各种证件（身份证除外）、设备发票等，未涉及的可以不提供）</w:t>
      </w:r>
    </w:p>
    <w:p>
      <w:pPr>
        <w:pStyle w:val="81"/>
        <w:tabs>
          <w:tab w:val="clear" w:pos="426"/>
        </w:tabs>
        <w:ind w:firstLine="727"/>
      </w:pPr>
      <w:r>
        <w:br w:type="page"/>
      </w:r>
      <w:bookmarkStart w:id="140" w:name="_Toc120892181"/>
      <w:bookmarkStart w:id="141" w:name="_Toc530152521"/>
      <w:bookmarkStart w:id="142" w:name="_Toc14427253"/>
      <w:r>
        <w:rPr>
          <w:rFonts w:hint="eastAsia"/>
        </w:rPr>
        <w:t>第二册</w:t>
      </w:r>
      <w:r>
        <w:t xml:space="preserve">  </w:t>
      </w:r>
      <w:r>
        <w:rPr>
          <w:rFonts w:hint="eastAsia"/>
        </w:rPr>
        <w:t>通用条款</w:t>
      </w:r>
      <w:bookmarkEnd w:id="140"/>
      <w:bookmarkEnd w:id="141"/>
      <w:bookmarkEnd w:id="142"/>
    </w:p>
    <w:p>
      <w:pPr>
        <w:jc w:val="center"/>
        <w:rPr>
          <w:b/>
        </w:rPr>
      </w:pPr>
      <w:r>
        <w:rPr>
          <w:rFonts w:hint="eastAsia"/>
          <w:b/>
        </w:rPr>
        <w:t>（投标供应商须知）</w:t>
      </w:r>
    </w:p>
    <w:p>
      <w:pPr>
        <w:pStyle w:val="4"/>
      </w:pPr>
      <w:bookmarkStart w:id="143" w:name="_Toc120892182"/>
      <w:bookmarkStart w:id="144" w:name="_Toc529280581"/>
      <w:bookmarkStart w:id="145" w:name="_Toc530152522"/>
      <w:bookmarkStart w:id="146" w:name="_Toc14427254"/>
      <w:r>
        <w:rPr>
          <w:rFonts w:hint="eastAsia"/>
        </w:rPr>
        <w:t>第一章</w:t>
      </w:r>
      <w:r>
        <w:t xml:space="preserve"> </w:t>
      </w:r>
      <w:r>
        <w:rPr>
          <w:rFonts w:hint="eastAsia"/>
        </w:rPr>
        <w:t>总则</w:t>
      </w:r>
      <w:bookmarkEnd w:id="143"/>
      <w:bookmarkEnd w:id="144"/>
      <w:bookmarkEnd w:id="145"/>
      <w:bookmarkEnd w:id="146"/>
    </w:p>
    <w:p>
      <w:pPr>
        <w:tabs>
          <w:tab w:val="clear" w:pos="426"/>
        </w:tabs>
      </w:pPr>
      <w:r>
        <w:t>1.</w:t>
      </w:r>
      <w:r>
        <w:rPr>
          <w:rFonts w:hint="eastAsia"/>
        </w:rPr>
        <w:t>通用条款说明</w:t>
      </w:r>
    </w:p>
    <w:p>
      <w:pPr>
        <w:tabs>
          <w:tab w:val="clear" w:pos="426"/>
        </w:tabs>
      </w:pPr>
      <w:r>
        <w:t>1.1</w:t>
      </w:r>
      <w:r>
        <w:rPr>
          <w:rFonts w:hint="eastAsia"/>
        </w:rPr>
        <w:t>采购代理机构发出招标文件通用条款版本，列出采购项目进行招标采购所适用的通用条款内容。如有需要，采购代理机构可以对这些条款增加附录或补充内容。</w:t>
      </w:r>
    </w:p>
    <w:p>
      <w:pPr>
        <w:tabs>
          <w:tab w:val="clear" w:pos="426"/>
        </w:tabs>
      </w:pPr>
      <w:r>
        <w:t>2</w:t>
      </w:r>
      <w:r>
        <w:rPr>
          <w:rFonts w:hint="eastAsia"/>
        </w:rPr>
        <w:t>．招标说明</w:t>
      </w:r>
    </w:p>
    <w:p>
      <w:pPr>
        <w:tabs>
          <w:tab w:val="clear" w:pos="426"/>
        </w:tabs>
        <w:rPr>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本招标文件适用于招标公告中所述项目的政府采购。</w:t>
      </w:r>
    </w:p>
    <w:p>
      <w:pPr>
        <w:tabs>
          <w:tab w:val="clear" w:pos="426"/>
        </w:tabs>
        <w:rPr>
          <w:szCs w:val="21"/>
        </w:rPr>
      </w:pPr>
      <w:r>
        <w:rPr>
          <w:rFonts w:hint="eastAsia"/>
          <w:szCs w:val="21"/>
        </w:rPr>
        <w:t>本招标文件的解释权归属深圳市深水水务咨询有限公司。</w:t>
      </w:r>
    </w:p>
    <w:p>
      <w:pPr>
        <w:tabs>
          <w:tab w:val="clear" w:pos="426"/>
        </w:tabs>
      </w:pPr>
      <w:r>
        <w:t>3</w:t>
      </w:r>
      <w:r>
        <w:rPr>
          <w:rFonts w:hint="eastAsia"/>
        </w:rPr>
        <w:t>．定义</w:t>
      </w:r>
    </w:p>
    <w:p>
      <w:pPr>
        <w:tabs>
          <w:tab w:val="clear" w:pos="426"/>
        </w:tabs>
      </w:pPr>
      <w:r>
        <w:rPr>
          <w:rFonts w:hint="eastAsia"/>
        </w:rPr>
        <w:t>招标文件中下列术语应解释为：</w:t>
      </w:r>
    </w:p>
    <w:p>
      <w:pPr>
        <w:tabs>
          <w:tab w:val="clear" w:pos="426"/>
        </w:tabs>
      </w:pPr>
      <w:r>
        <w:rPr>
          <w:szCs w:val="21"/>
        </w:rPr>
        <w:t>3.1</w:t>
      </w:r>
      <w:r>
        <w:rPr>
          <w:rFonts w:hint="eastAsia"/>
          <w:szCs w:val="21"/>
        </w:rPr>
        <w:t>“采购代理机构”</w:t>
      </w:r>
      <w:r>
        <w:rPr>
          <w:rFonts w:hint="eastAsia"/>
        </w:rPr>
        <w:t>系指政府设立的负责本级财政性资金的集中采购和招标组织工作的专门机构；本项目系指深圳市深水水务咨询有限公司；</w:t>
      </w:r>
    </w:p>
    <w:p>
      <w:pPr>
        <w:tabs>
          <w:tab w:val="clear" w:pos="426"/>
        </w:tabs>
      </w:pPr>
      <w:r>
        <w:t>3.2“</w:t>
      </w:r>
      <w:r>
        <w:rPr>
          <w:rFonts w:hint="eastAsia"/>
        </w:rPr>
        <w:t>采购人</w:t>
      </w:r>
      <w:r>
        <w:t>”</w:t>
      </w:r>
      <w:r>
        <w:rPr>
          <w:rFonts w:hint="eastAsia"/>
        </w:rPr>
        <w:t>或</w:t>
      </w:r>
      <w:r>
        <w:t>“</w:t>
      </w:r>
      <w:r>
        <w:rPr>
          <w:rFonts w:hint="eastAsia"/>
        </w:rPr>
        <w:t>采购人</w:t>
      </w:r>
      <w:r>
        <w:t>”</w:t>
      </w:r>
      <w:r>
        <w:rPr>
          <w:rFonts w:hint="eastAsia"/>
        </w:rPr>
        <w:t>：系指利用财政性资金依法进行采购的国家机关、事业单位、团体组织；</w:t>
      </w:r>
      <w:r>
        <w:t xml:space="preserve"> </w:t>
      </w:r>
    </w:p>
    <w:p>
      <w:pPr>
        <w:tabs>
          <w:tab w:val="clear" w:pos="426"/>
        </w:tabs>
      </w:pPr>
      <w:r>
        <w:t>3.3“</w:t>
      </w:r>
      <w:r>
        <w:rPr>
          <w:rFonts w:hint="eastAsia"/>
        </w:rPr>
        <w:t>投标供应商</w:t>
      </w:r>
      <w:r>
        <w:t>”</w:t>
      </w:r>
      <w:r>
        <w:rPr>
          <w:rFonts w:hint="eastAsia"/>
        </w:rPr>
        <w:t>或</w:t>
      </w:r>
      <w:r>
        <w:t>“</w:t>
      </w:r>
      <w:r>
        <w:rPr>
          <w:rFonts w:hint="eastAsia"/>
        </w:rPr>
        <w:t>投标方</w:t>
      </w:r>
      <w:r>
        <w:t>”</w:t>
      </w:r>
      <w:r>
        <w:rPr>
          <w:rFonts w:hint="eastAsia"/>
        </w:rPr>
        <w:t>，即供应商，是指参加投标竞争并愿意按照招标文件要求向采购人提供货物、工程或者服务的依法成立的法人、其他组织或者自然人；</w:t>
      </w:r>
    </w:p>
    <w:p>
      <w:pPr>
        <w:tabs>
          <w:tab w:val="clear" w:pos="426"/>
        </w:tabs>
      </w:pPr>
      <w:r>
        <w:t>3.4“</w:t>
      </w:r>
      <w:r>
        <w:rPr>
          <w:rFonts w:hint="eastAsia"/>
        </w:rPr>
        <w:t>评标委员会</w:t>
      </w:r>
      <w:r>
        <w:t>”</w:t>
      </w:r>
      <w:r>
        <w:rPr>
          <w:rFonts w:hint="eastAsia"/>
        </w:rPr>
        <w:t>和</w:t>
      </w:r>
      <w:r>
        <w:t>“</w:t>
      </w:r>
      <w:r>
        <w:rPr>
          <w:rFonts w:hint="eastAsia"/>
        </w:rPr>
        <w:t>谈判小组</w:t>
      </w:r>
      <w:r>
        <w:t>”</w:t>
      </w:r>
      <w:r>
        <w:rPr>
          <w:rFonts w:hint="eastAsia"/>
        </w:rPr>
        <w:t>是依据有关规定组建的专门负责本次招标其评标（谈判）工作的临时性机构；</w:t>
      </w:r>
    </w:p>
    <w:p>
      <w:pPr>
        <w:tabs>
          <w:tab w:val="clear" w:pos="426"/>
        </w:tabs>
      </w:pPr>
      <w:r>
        <w:t>3.5“</w:t>
      </w:r>
      <w:r>
        <w:rPr>
          <w:rFonts w:hint="eastAsia"/>
        </w:rPr>
        <w:t>日期</w:t>
      </w:r>
      <w:r>
        <w:t>”</w:t>
      </w:r>
      <w:r>
        <w:rPr>
          <w:rFonts w:hint="eastAsia"/>
        </w:rPr>
        <w:t>指公历日；</w:t>
      </w:r>
    </w:p>
    <w:p>
      <w:pPr>
        <w:tabs>
          <w:tab w:val="clear" w:pos="426"/>
        </w:tabs>
      </w:pPr>
      <w:r>
        <w:t>3.6“</w:t>
      </w:r>
      <w:r>
        <w:rPr>
          <w:rFonts w:hint="eastAsia"/>
        </w:rPr>
        <w:t>合同</w:t>
      </w:r>
      <w:r>
        <w:t>”</w:t>
      </w:r>
      <w:r>
        <w:rPr>
          <w:rFonts w:hint="eastAsia"/>
        </w:rPr>
        <w:t>指由本次招标所产生的合同或合约文件；</w:t>
      </w:r>
    </w:p>
    <w:p>
      <w:pPr>
        <w:tabs>
          <w:tab w:val="clear" w:pos="426"/>
        </w:tabs>
      </w:pPr>
      <w:r>
        <w:t>3.7</w:t>
      </w:r>
      <w:r>
        <w:rPr>
          <w:rFonts w:hint="eastAsia"/>
        </w:rPr>
        <w:t>招标文件中的标题或题名仅起引导作用，而不应视为对招标文件内容的理解和解释。</w:t>
      </w:r>
    </w:p>
    <w:p>
      <w:pPr>
        <w:tabs>
          <w:tab w:val="clear" w:pos="426"/>
        </w:tabs>
      </w:pPr>
      <w:r>
        <w:t>4.</w:t>
      </w:r>
      <w:r>
        <w:rPr>
          <w:rFonts w:hint="eastAsia"/>
        </w:rPr>
        <w:t>供应商责任</w:t>
      </w:r>
    </w:p>
    <w:p>
      <w:pPr>
        <w:tabs>
          <w:tab w:val="clear" w:pos="426"/>
        </w:tabs>
      </w:pPr>
      <w:r>
        <w:t>4.1</w:t>
      </w:r>
      <w:r>
        <w:rPr>
          <w:rFonts w:hint="eastAsia"/>
        </w:rPr>
        <w:t>欢迎诚信、有实力和有社会责任心的供应商参与采购事业。</w:t>
      </w:r>
    </w:p>
    <w:p>
      <w:pPr>
        <w:tabs>
          <w:tab w:val="clear" w:pos="426"/>
        </w:tabs>
      </w:pPr>
      <w:r>
        <w:t>4.2</w:t>
      </w:r>
      <w:r>
        <w:rPr>
          <w:rFonts w:hint="eastAsia"/>
        </w:rPr>
        <w:t>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pPr>
      <w:r>
        <w:t>5</w:t>
      </w:r>
      <w:r>
        <w:rPr>
          <w:rFonts w:hint="eastAsia"/>
        </w:rPr>
        <w:t>．合格的投标供应商</w:t>
      </w:r>
    </w:p>
    <w:p>
      <w:pPr>
        <w:widowControl w:val="0"/>
        <w:shd w:val="clear" w:color="auto" w:fill="auto"/>
        <w:tabs>
          <w:tab w:val="clear" w:pos="426"/>
        </w:tabs>
        <w:autoSpaceDE w:val="0"/>
        <w:autoSpaceDN w:val="0"/>
        <w:rPr>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szCs w:val="21"/>
        </w:rPr>
      </w:pPr>
      <w:r>
        <w:rPr>
          <w:szCs w:val="21"/>
        </w:rPr>
        <w:t xml:space="preserve">5.2.1 </w:t>
      </w:r>
      <w:r>
        <w:rPr>
          <w:rFonts w:hint="eastAsia"/>
          <w:szCs w:val="21"/>
        </w:rPr>
        <w:t>具有独立承担民事责任的能力。</w:t>
      </w:r>
    </w:p>
    <w:p>
      <w:pPr>
        <w:widowControl w:val="0"/>
        <w:shd w:val="clear" w:color="auto" w:fill="auto"/>
        <w:tabs>
          <w:tab w:val="clear" w:pos="426"/>
        </w:tabs>
        <w:autoSpaceDE w:val="0"/>
        <w:autoSpaceDN w:val="0"/>
        <w:rPr>
          <w:szCs w:val="21"/>
        </w:rPr>
      </w:pPr>
      <w:r>
        <w:rPr>
          <w:szCs w:val="21"/>
        </w:rPr>
        <w:t xml:space="preserve">5.2.2 </w:t>
      </w:r>
      <w:r>
        <w:rPr>
          <w:rFonts w:hint="eastAsia"/>
          <w:szCs w:val="21"/>
        </w:rPr>
        <w:t>具有良好的商业信誉和健全的财务会计制度。</w:t>
      </w:r>
    </w:p>
    <w:p>
      <w:pPr>
        <w:widowControl w:val="0"/>
        <w:shd w:val="clear" w:color="auto" w:fill="auto"/>
        <w:tabs>
          <w:tab w:val="clear" w:pos="426"/>
        </w:tabs>
        <w:autoSpaceDE w:val="0"/>
        <w:autoSpaceDN w:val="0"/>
        <w:rPr>
          <w:szCs w:val="21"/>
        </w:rPr>
      </w:pPr>
      <w:r>
        <w:rPr>
          <w:szCs w:val="21"/>
        </w:rPr>
        <w:t xml:space="preserve">5.2.3 </w:t>
      </w:r>
      <w:r>
        <w:rPr>
          <w:rFonts w:hint="eastAsia"/>
          <w:szCs w:val="21"/>
        </w:rPr>
        <w:t>具有履行合同所必需的设备和专业技术能力。</w:t>
      </w:r>
    </w:p>
    <w:p>
      <w:pPr>
        <w:widowControl w:val="0"/>
        <w:shd w:val="clear" w:color="auto" w:fill="auto"/>
        <w:tabs>
          <w:tab w:val="clear" w:pos="426"/>
        </w:tabs>
        <w:autoSpaceDE w:val="0"/>
        <w:autoSpaceDN w:val="0"/>
        <w:rPr>
          <w:szCs w:val="21"/>
        </w:rPr>
      </w:pPr>
      <w:r>
        <w:rPr>
          <w:szCs w:val="21"/>
        </w:rPr>
        <w:t xml:space="preserve">5.2.4 </w:t>
      </w:r>
      <w:r>
        <w:rPr>
          <w:rFonts w:hint="eastAsia"/>
          <w:szCs w:val="21"/>
        </w:rPr>
        <w:t>有依法缴纳税收和社会保障资金的良好记录。</w:t>
      </w:r>
    </w:p>
    <w:p>
      <w:pPr>
        <w:widowControl w:val="0"/>
        <w:shd w:val="clear" w:color="auto" w:fill="auto"/>
        <w:tabs>
          <w:tab w:val="clear" w:pos="426"/>
        </w:tabs>
        <w:autoSpaceDE w:val="0"/>
        <w:autoSpaceDN w:val="0"/>
        <w:rPr>
          <w:szCs w:val="21"/>
        </w:rPr>
      </w:pPr>
      <w:r>
        <w:rPr>
          <w:szCs w:val="21"/>
        </w:rPr>
        <w:t xml:space="preserve">5.2.5 </w:t>
      </w:r>
      <w:r>
        <w:rPr>
          <w:rFonts w:hint="eastAsia"/>
          <w:szCs w:val="21"/>
        </w:rPr>
        <w:t>参加采购活动前三年内，在经营活动中没有重大违法记录。</w:t>
      </w:r>
    </w:p>
    <w:p>
      <w:pPr>
        <w:widowControl w:val="0"/>
        <w:shd w:val="clear" w:color="auto" w:fill="auto"/>
        <w:tabs>
          <w:tab w:val="clear" w:pos="426"/>
        </w:tabs>
        <w:autoSpaceDE w:val="0"/>
        <w:autoSpaceDN w:val="0"/>
        <w:rPr>
          <w:szCs w:val="21"/>
        </w:rPr>
      </w:pPr>
      <w:r>
        <w:rPr>
          <w:szCs w:val="21"/>
        </w:rPr>
        <w:t xml:space="preserve">5.2.6 </w:t>
      </w:r>
      <w:r>
        <w:rPr>
          <w:rFonts w:hint="eastAsia"/>
          <w:szCs w:val="21"/>
        </w:rPr>
        <w:t>法律、行政法规规定的其他条件。</w:t>
      </w:r>
    </w:p>
    <w:p>
      <w:pPr>
        <w:widowControl w:val="0"/>
        <w:shd w:val="clear" w:color="auto" w:fill="auto"/>
        <w:tabs>
          <w:tab w:val="clear" w:pos="426"/>
        </w:tabs>
        <w:autoSpaceDE w:val="0"/>
        <w:autoSpaceDN w:val="0"/>
        <w:rPr>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szCs w:val="21"/>
        </w:rPr>
      </w:pPr>
      <w:r>
        <w:rPr>
          <w:szCs w:val="21"/>
        </w:rPr>
        <w:t xml:space="preserve">5.2.9 </w:t>
      </w:r>
      <w:r>
        <w:rPr>
          <w:rFonts w:hint="eastAsia"/>
          <w:szCs w:val="21"/>
        </w:rPr>
        <w:t>符合</w:t>
      </w:r>
      <w:r>
        <w:rPr>
          <w:rFonts w:hint="eastAsia" w:cs="黑体"/>
          <w:szCs w:val="21"/>
        </w:rPr>
        <w:t>第一章招标公告“投标供应商资格要求”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szCs w:val="21"/>
        </w:rPr>
      </w:pPr>
      <w:r>
        <w:rPr>
          <w:szCs w:val="21"/>
        </w:rPr>
        <w:t xml:space="preserve">5.3 </w:t>
      </w:r>
      <w:r>
        <w:rPr>
          <w:rFonts w:hint="eastAsia"/>
          <w:szCs w:val="21"/>
        </w:rPr>
        <w:t>中标供应商是指经法定程序确定并授予合同的投标供应商。</w:t>
      </w:r>
    </w:p>
    <w:p>
      <w:pPr>
        <w:tabs>
          <w:tab w:val="clear" w:pos="426"/>
        </w:tabs>
      </w:pPr>
      <w:r>
        <w:t>6</w:t>
      </w:r>
      <w:r>
        <w:rPr>
          <w:rFonts w:hint="eastAsia"/>
        </w:rPr>
        <w:t>．联合体投标</w:t>
      </w:r>
    </w:p>
    <w:p>
      <w:pPr>
        <w:tabs>
          <w:tab w:val="clear" w:pos="426"/>
        </w:tabs>
      </w:pPr>
      <w:r>
        <w:t>6.1</w:t>
      </w:r>
      <w:r>
        <w:rPr>
          <w:rFonts w:hint="eastAsia"/>
        </w:rPr>
        <w:t>　以下有关联合体投标的条款仅适用于允许投标供应商组成联合体投标的项目。</w:t>
      </w:r>
    </w:p>
    <w:p>
      <w:pPr>
        <w:tabs>
          <w:tab w:val="clear" w:pos="426"/>
        </w:tabs>
      </w:pPr>
      <w:r>
        <w:t>6.2</w:t>
      </w:r>
      <w:r>
        <w:rPr>
          <w:rFonts w:hint="eastAsia"/>
        </w:rPr>
        <w:t>　由两个或两个以上的自然人、法人或者其他组织可以组成一个联合体，以一个供应商的身份共同投标时，应符合以下原则：</w:t>
      </w:r>
    </w:p>
    <w:p>
      <w:pPr>
        <w:tabs>
          <w:tab w:val="clear" w:pos="426"/>
        </w:tabs>
      </w:pPr>
      <w:r>
        <w:t>6.2.</w:t>
      </w:r>
      <w:r>
        <w:rPr>
          <w:bCs/>
        </w:rPr>
        <w:t>1</w:t>
      </w:r>
      <w:r>
        <w:rPr>
          <w:rFonts w:hint="eastAsia"/>
          <w:bCs/>
        </w:rPr>
        <w:t>投标联合体应满足招标公告有关投标供应商资格要求中对联合体的要求；</w:t>
      </w:r>
    </w:p>
    <w:p>
      <w:pPr>
        <w:tabs>
          <w:tab w:val="clear" w:pos="426"/>
        </w:tabs>
      </w:pPr>
      <w:r>
        <w:t>6.2.2</w:t>
      </w:r>
      <w:r>
        <w:rPr>
          <w:rFonts w:hint="eastAsia"/>
        </w:rPr>
        <w:t>对于招标公告中所要求投标供应商应具有的某一资质，若联合体各方均具有，则将以联合体各方中最低的资质等级作为联合体在这一资质条件上的资质等级；联合体各方的不同资质可优势互补。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pPr>
      <w:r>
        <w:t>6.2.3</w:t>
      </w:r>
      <w:r>
        <w:rPr>
          <w:rFonts w:hint="eastAsia"/>
        </w:rPr>
        <w:t>投标供应商的投标文件及中标后签署的合同协议对联合体各方均具法律约束力；</w:t>
      </w:r>
    </w:p>
    <w:p>
      <w:pPr>
        <w:tabs>
          <w:tab w:val="clear" w:pos="426"/>
        </w:tabs>
      </w:pPr>
      <w:r>
        <w:t>6.2.4</w:t>
      </w:r>
      <w:r>
        <w:rPr>
          <w:rFonts w:hint="eastAsia"/>
        </w:rPr>
        <w:t>联合体各方应当签订共同投标协议，明确约定各方拟承担的工作和责任，并将该共同投标协议随投标文件一并递交给代理机构；</w:t>
      </w:r>
    </w:p>
    <w:p>
      <w:pPr>
        <w:tabs>
          <w:tab w:val="clear" w:pos="426"/>
        </w:tabs>
      </w:pPr>
      <w:r>
        <w:t>6.2.5</w:t>
      </w:r>
      <w:r>
        <w:rPr>
          <w:rFonts w:hint="eastAsia"/>
        </w:rPr>
        <w:t>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pPr>
      <w:r>
        <w:t>6.2.6</w:t>
      </w:r>
      <w:r>
        <w:rPr>
          <w:rFonts w:hint="eastAsia"/>
        </w:rPr>
        <w:t>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pPr>
      <w:r>
        <w:t>6.2.7</w:t>
      </w:r>
      <w:r>
        <w:rPr>
          <w:rFonts w:hint="eastAsia"/>
        </w:rPr>
        <w:t>除非另有规定或说明，本须知中</w:t>
      </w:r>
      <w:r>
        <w:t>“</w:t>
      </w:r>
      <w:r>
        <w:rPr>
          <w:rFonts w:hint="eastAsia"/>
        </w:rPr>
        <w:t>投标供应商</w:t>
      </w:r>
      <w:r>
        <w:t>”</w:t>
      </w:r>
      <w:r>
        <w:rPr>
          <w:rFonts w:hint="eastAsia"/>
        </w:rPr>
        <w:t>一词亦指联合体各方。</w:t>
      </w:r>
    </w:p>
    <w:p>
      <w:pPr>
        <w:tabs>
          <w:tab w:val="clear" w:pos="426"/>
        </w:tabs>
      </w:pPr>
      <w:r>
        <w:t xml:space="preserve">7. </w:t>
      </w:r>
      <w:r>
        <w:rPr>
          <w:rFonts w:hint="eastAsia"/>
        </w:rPr>
        <w:t>合格的服务和货物</w:t>
      </w:r>
    </w:p>
    <w:p>
      <w:pPr>
        <w:widowControl w:val="0"/>
        <w:shd w:val="clear" w:color="auto" w:fill="auto"/>
        <w:tabs>
          <w:tab w:val="clear" w:pos="426"/>
        </w:tabs>
        <w:autoSpaceDE w:val="0"/>
        <w:autoSpaceDN w:val="0"/>
        <w:rPr>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pPr>
      <w:r>
        <w:t>8</w:t>
      </w:r>
      <w:r>
        <w:rPr>
          <w:rFonts w:hint="eastAsia"/>
        </w:rPr>
        <w:t>．投标费用</w:t>
      </w:r>
    </w:p>
    <w:p>
      <w:pPr>
        <w:tabs>
          <w:tab w:val="clear" w:pos="426"/>
        </w:tabs>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招标采购人均无义务和责任承担这些费用</w:t>
      </w:r>
      <w:r>
        <w:rPr>
          <w:rFonts w:hint="eastAsia"/>
          <w:szCs w:val="21"/>
        </w:rPr>
        <w:t>。</w:t>
      </w:r>
    </w:p>
    <w:p>
      <w:pPr>
        <w:tabs>
          <w:tab w:val="clear" w:pos="426"/>
        </w:tabs>
      </w:pPr>
      <w:r>
        <w:t>9</w:t>
      </w:r>
      <w:r>
        <w:rPr>
          <w:rFonts w:hint="eastAsia"/>
        </w:rPr>
        <w:t>．踏勘现场</w:t>
      </w:r>
    </w:p>
    <w:p>
      <w:pPr>
        <w:tabs>
          <w:tab w:val="clear" w:pos="426"/>
        </w:tabs>
      </w:pPr>
      <w:r>
        <w:t>9.1</w:t>
      </w:r>
      <w:r>
        <w:rPr>
          <w:rFonts w:hint="eastAsia"/>
        </w:rPr>
        <w:t>如有需要，采购代理机构或采购人将组织投标供应商对项目现场及周围环境进行踏勘，以便投标供应商获取有关编制投标文件和签署合同所需的所有资料。踏勘现场所发生的费用和风险由投标供应商自己承担，投标供应商应按招标公告所约定的时间、地点统一踏勘现场。</w:t>
      </w:r>
    </w:p>
    <w:p>
      <w:pPr>
        <w:tabs>
          <w:tab w:val="clear" w:pos="426"/>
        </w:tabs>
      </w:pPr>
      <w:r>
        <w:t>9.2</w:t>
      </w:r>
      <w:r>
        <w:rPr>
          <w:rFonts w:hint="eastAsia"/>
        </w:rPr>
        <w:t>投标供应商及其人员经过采购人的允许，可以踏勘目的进入采购人的项目现场。若本项目招标文件要求投标供应商于统一时间地点踏勘现场的，投标供应商按时前往。</w:t>
      </w:r>
    </w:p>
    <w:p>
      <w:pPr>
        <w:tabs>
          <w:tab w:val="clear" w:pos="426"/>
        </w:tabs>
      </w:pPr>
      <w:r>
        <w:t>9.3</w:t>
      </w:r>
      <w:r>
        <w:rPr>
          <w:rFonts w:hint="eastAsia"/>
        </w:rPr>
        <w:t>采购人必须通过采购代理机构向投标供应商提供有关现场的资料和数据。</w:t>
      </w:r>
    </w:p>
    <w:p>
      <w:pPr>
        <w:tabs>
          <w:tab w:val="clear" w:pos="426"/>
        </w:tabs>
      </w:pPr>
      <w:r>
        <w:t>9.4</w:t>
      </w:r>
      <w:r>
        <w:rPr>
          <w:rFonts w:hint="eastAsia"/>
        </w:rPr>
        <w:t>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pPr>
      <w:r>
        <w:t xml:space="preserve">9.5 </w:t>
      </w:r>
      <w:r>
        <w:rPr>
          <w:rFonts w:hint="eastAsia"/>
        </w:rPr>
        <w:t>未参与现场踏勘不作为否定投标供应商资格的理由。</w:t>
      </w:r>
    </w:p>
    <w:p>
      <w:pPr>
        <w:tabs>
          <w:tab w:val="clear" w:pos="426"/>
        </w:tabs>
      </w:pPr>
      <w:r>
        <w:t>10</w:t>
      </w:r>
      <w:r>
        <w:rPr>
          <w:rFonts w:hint="eastAsia"/>
        </w:rPr>
        <w:t>．招标答疑</w:t>
      </w:r>
    </w:p>
    <w:p>
      <w:pPr>
        <w:tabs>
          <w:tab w:val="clear" w:pos="426"/>
        </w:tabs>
      </w:pPr>
      <w:r>
        <w:t>10.1</w:t>
      </w:r>
      <w:r>
        <w:rPr>
          <w:rFonts w:hint="eastAsia"/>
        </w:rPr>
        <w:t>招标答疑的目的是澄清、解答投标供应商在查阅招标文件后或现场踏勘中可能提出的与投标有关的疑问或询问。</w:t>
      </w:r>
    </w:p>
    <w:p>
      <w:pPr>
        <w:tabs>
          <w:tab w:val="clear" w:pos="426"/>
        </w:tabs>
      </w:pPr>
      <w:r>
        <w:t>10.2</w:t>
      </w:r>
      <w:r>
        <w:rPr>
          <w:rFonts w:hint="eastAsia"/>
        </w:rPr>
        <w:t>投标供应商提出的与投标有关的问题须在招标文件规定的答疑截止时间前以</w:t>
      </w:r>
      <w:r>
        <w:t xml:space="preserve"> </w:t>
      </w:r>
      <w:r>
        <w:rPr>
          <w:rFonts w:hint="eastAsia"/>
        </w:rPr>
        <w:t>“质疑函</w:t>
      </w:r>
      <w:r>
        <w:t>”</w:t>
      </w:r>
      <w:r>
        <w:rPr>
          <w:rFonts w:hint="eastAsia"/>
        </w:rPr>
        <w:t>的形式提交给采购代理机构，质疑函应该加盖质疑单位公章。</w:t>
      </w:r>
    </w:p>
    <w:p>
      <w:pPr>
        <w:tabs>
          <w:tab w:val="clear" w:pos="426"/>
        </w:tabs>
      </w:pPr>
      <w:r>
        <w:t>10.3</w:t>
      </w:r>
      <w:r>
        <w:rPr>
          <w:rFonts w:hint="eastAsia"/>
        </w:rPr>
        <w:t>采购代理机构对疑问所做出的澄清和解答，以书面答复（包括网站发布信息）为准。答疑纪要的有效性规定按照本通用条款第</w:t>
      </w:r>
      <w:r>
        <w:t>13.3.13.4</w:t>
      </w:r>
      <w:r>
        <w:rPr>
          <w:rFonts w:hint="eastAsia"/>
        </w:rPr>
        <w:t>款规定执行。</w:t>
      </w:r>
    </w:p>
    <w:p>
      <w:pPr>
        <w:tabs>
          <w:tab w:val="clear" w:pos="426"/>
        </w:tabs>
      </w:pPr>
      <w:r>
        <w:t>10.4</w:t>
      </w:r>
      <w:r>
        <w:rPr>
          <w:rFonts w:hint="eastAsia"/>
        </w:rPr>
        <w:t>如采购代理机构认为有必要组织现场答疑会，投标供应商应按照招标文件规定的时间或采购代理机构另行书面通知（包括网站发布的通知）的时间和地点，参与现场答疑会。</w:t>
      </w:r>
    </w:p>
    <w:p>
      <w:pPr>
        <w:tabs>
          <w:tab w:val="clear" w:pos="426"/>
        </w:tabs>
      </w:pPr>
      <w:r>
        <w:t>10.5</w:t>
      </w:r>
      <w:r>
        <w:rPr>
          <w:rFonts w:hint="eastAsia"/>
        </w:rPr>
        <w:t>未参与招标答疑不作为否定投标供应商资格的理由。</w:t>
      </w:r>
    </w:p>
    <w:p>
      <w:pPr>
        <w:pStyle w:val="4"/>
      </w:pPr>
      <w:bookmarkStart w:id="147" w:name="_Toc120892183"/>
      <w:bookmarkStart w:id="148" w:name="_Toc529280582"/>
      <w:bookmarkStart w:id="149" w:name="_Toc530152523"/>
      <w:bookmarkStart w:id="150" w:name="_Toc14427255"/>
      <w:r>
        <w:rPr>
          <w:rFonts w:hint="eastAsia"/>
        </w:rPr>
        <w:t>第二章</w:t>
      </w:r>
      <w:r>
        <w:t xml:space="preserve"> </w:t>
      </w:r>
      <w:r>
        <w:rPr>
          <w:rFonts w:hint="eastAsia"/>
        </w:rPr>
        <w:t>招标文件</w:t>
      </w:r>
      <w:bookmarkEnd w:id="147"/>
      <w:bookmarkEnd w:id="148"/>
      <w:bookmarkEnd w:id="149"/>
      <w:bookmarkEnd w:id="150"/>
    </w:p>
    <w:p>
      <w:pPr>
        <w:tabs>
          <w:tab w:val="clear" w:pos="426"/>
        </w:tabs>
      </w:pPr>
      <w:r>
        <w:t>11</w:t>
      </w:r>
      <w:r>
        <w:rPr>
          <w:rFonts w:hint="eastAsia"/>
        </w:rPr>
        <w:t>．招标文件的编制与组成</w:t>
      </w:r>
    </w:p>
    <w:p>
      <w:pPr>
        <w:tabs>
          <w:tab w:val="clear" w:pos="426"/>
        </w:tabs>
      </w:pPr>
      <w:r>
        <w:t>11.1</w:t>
      </w:r>
      <w:r>
        <w:rPr>
          <w:rFonts w:hint="eastAsia"/>
        </w:rPr>
        <w:t>招标文件除以下内容外，采购代理机构在招标（或谈判）期间发出的答疑纪要和其他补充修改函件，均是招标文件的组成部分，对投标供应商起约束作用；</w:t>
      </w:r>
    </w:p>
    <w:p>
      <w:pPr>
        <w:tabs>
          <w:tab w:val="clear" w:pos="426"/>
        </w:tabs>
      </w:pPr>
      <w:r>
        <w:rPr>
          <w:rFonts w:hint="eastAsia"/>
        </w:rPr>
        <w:t>招标文件包括下列内容：</w:t>
      </w:r>
    </w:p>
    <w:p>
      <w:pPr>
        <w:tabs>
          <w:tab w:val="clear" w:pos="426"/>
        </w:tabs>
      </w:pPr>
      <w:r>
        <w:rPr>
          <w:rFonts w:hint="eastAsia"/>
        </w:rPr>
        <w:t>项目关键信息</w:t>
      </w:r>
    </w:p>
    <w:p>
      <w:pPr>
        <w:tabs>
          <w:tab w:val="clear" w:pos="426"/>
        </w:tabs>
      </w:pPr>
      <w:r>
        <w:rPr>
          <w:rFonts w:hint="eastAsia"/>
        </w:rPr>
        <w:t>评标信息</w:t>
      </w:r>
    </w:p>
    <w:p>
      <w:pPr>
        <w:tabs>
          <w:tab w:val="clear" w:pos="426"/>
        </w:tabs>
      </w:pPr>
      <w:r>
        <w:rPr>
          <w:rFonts w:hint="eastAsia"/>
        </w:rPr>
        <w:t>第一册专用条款</w:t>
      </w:r>
    </w:p>
    <w:p>
      <w:pPr>
        <w:tabs>
          <w:tab w:val="clear" w:pos="426"/>
        </w:tabs>
      </w:pPr>
      <w:r>
        <w:rPr>
          <w:rFonts w:hint="eastAsia"/>
        </w:rPr>
        <w:t>第一章招标公告</w:t>
      </w:r>
    </w:p>
    <w:p>
      <w:pPr>
        <w:tabs>
          <w:tab w:val="clear" w:pos="426"/>
        </w:tabs>
      </w:pPr>
      <w:r>
        <w:rPr>
          <w:rFonts w:hint="eastAsia"/>
        </w:rPr>
        <w:t>第二章招标项目需求</w:t>
      </w:r>
    </w:p>
    <w:p>
      <w:pPr>
        <w:tabs>
          <w:tab w:val="clear" w:pos="426"/>
        </w:tabs>
      </w:pPr>
      <w:r>
        <w:rPr>
          <w:rFonts w:hint="eastAsia"/>
        </w:rPr>
        <w:t>第三章合同条款及格式</w:t>
      </w:r>
    </w:p>
    <w:p>
      <w:pPr>
        <w:tabs>
          <w:tab w:val="clear" w:pos="426"/>
        </w:tabs>
      </w:pPr>
      <w:r>
        <w:rPr>
          <w:rFonts w:hint="eastAsia"/>
        </w:rPr>
        <w:t>第四章投标文件格式、附件</w:t>
      </w:r>
    </w:p>
    <w:p>
      <w:pPr>
        <w:tabs>
          <w:tab w:val="clear" w:pos="426"/>
        </w:tabs>
      </w:pPr>
      <w:r>
        <w:rPr>
          <w:rFonts w:hint="eastAsia"/>
        </w:rPr>
        <w:t>第二册通用条款</w:t>
      </w:r>
    </w:p>
    <w:p>
      <w:pPr>
        <w:tabs>
          <w:tab w:val="clear" w:pos="426"/>
        </w:tabs>
      </w:pPr>
      <w:r>
        <w:rPr>
          <w:rFonts w:hint="eastAsia"/>
        </w:rPr>
        <w:t>第一章总则</w:t>
      </w:r>
    </w:p>
    <w:p>
      <w:pPr>
        <w:tabs>
          <w:tab w:val="clear" w:pos="426"/>
        </w:tabs>
      </w:pPr>
      <w:r>
        <w:rPr>
          <w:rFonts w:hint="eastAsia"/>
        </w:rPr>
        <w:t>第二章招标文件</w:t>
      </w:r>
    </w:p>
    <w:p>
      <w:pPr>
        <w:tabs>
          <w:tab w:val="clear" w:pos="426"/>
        </w:tabs>
      </w:pPr>
      <w:r>
        <w:rPr>
          <w:rFonts w:hint="eastAsia"/>
        </w:rPr>
        <w:t>第三章投标文件的编制与递交</w:t>
      </w:r>
    </w:p>
    <w:p>
      <w:pPr>
        <w:tabs>
          <w:tab w:val="clear" w:pos="426"/>
        </w:tabs>
      </w:pPr>
      <w:r>
        <w:rPr>
          <w:rFonts w:hint="eastAsia"/>
        </w:rPr>
        <w:t>第四章开标</w:t>
      </w:r>
    </w:p>
    <w:p>
      <w:pPr>
        <w:tabs>
          <w:tab w:val="clear" w:pos="426"/>
        </w:tabs>
      </w:pPr>
      <w:r>
        <w:rPr>
          <w:rFonts w:hint="eastAsia"/>
        </w:rPr>
        <w:t>第五章评标要求</w:t>
      </w:r>
    </w:p>
    <w:p>
      <w:pPr>
        <w:tabs>
          <w:tab w:val="clear" w:pos="426"/>
        </w:tabs>
      </w:pPr>
      <w:r>
        <w:rPr>
          <w:rFonts w:hint="eastAsia"/>
        </w:rPr>
        <w:t>第六章评标程序及评标方法</w:t>
      </w:r>
    </w:p>
    <w:p>
      <w:pPr>
        <w:tabs>
          <w:tab w:val="clear" w:pos="426"/>
        </w:tabs>
      </w:pPr>
      <w:r>
        <w:rPr>
          <w:rFonts w:hint="eastAsia"/>
        </w:rPr>
        <w:t>第七章定标及公示</w:t>
      </w:r>
    </w:p>
    <w:p>
      <w:pPr>
        <w:tabs>
          <w:tab w:val="clear" w:pos="426"/>
        </w:tabs>
      </w:pPr>
      <w:r>
        <w:rPr>
          <w:rFonts w:hint="eastAsia"/>
        </w:rPr>
        <w:t>第八章公开招标失败的后续处理</w:t>
      </w:r>
    </w:p>
    <w:p>
      <w:pPr>
        <w:tabs>
          <w:tab w:val="clear" w:pos="426"/>
        </w:tabs>
      </w:pPr>
      <w:r>
        <w:rPr>
          <w:rFonts w:hint="eastAsia"/>
        </w:rPr>
        <w:t>第九章合同的授予与备案</w:t>
      </w:r>
    </w:p>
    <w:p>
      <w:pPr>
        <w:tabs>
          <w:tab w:val="clear" w:pos="426"/>
        </w:tabs>
      </w:pPr>
      <w:r>
        <w:rPr>
          <w:rFonts w:hint="eastAsia"/>
        </w:rPr>
        <w:t>第十章质疑处理</w:t>
      </w:r>
    </w:p>
    <w:p>
      <w:pPr>
        <w:tabs>
          <w:tab w:val="clear" w:pos="426"/>
        </w:tabs>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pPr>
      <w:r>
        <w:t>12</w:t>
      </w:r>
      <w:r>
        <w:rPr>
          <w:rFonts w:hint="eastAsia"/>
        </w:rPr>
        <w:t>．招标文件的澄清</w:t>
      </w:r>
    </w:p>
    <w:p>
      <w:pPr>
        <w:tabs>
          <w:tab w:val="clear" w:pos="426"/>
        </w:tabs>
      </w:pPr>
      <w:r>
        <w:t>12.1</w:t>
      </w:r>
      <w:r>
        <w:rPr>
          <w:rFonts w:hint="eastAsia"/>
        </w:rPr>
        <w:t>投标供应商在收到招标文件后，对招标文件任何部分若有任何疑问，或要求澄清招标文件的，均应在招标公告规定的答疑截止时间内，按</w:t>
      </w:r>
      <w:r>
        <w:t>“</w:t>
      </w:r>
      <w:r>
        <w:rPr>
          <w:rFonts w:hint="eastAsia"/>
        </w:rPr>
        <w:t>质疑函</w:t>
      </w:r>
      <w:r>
        <w:t>”</w:t>
      </w:r>
      <w:r>
        <w:rPr>
          <w:rFonts w:hint="eastAsia"/>
        </w:rPr>
        <w:t>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pPr>
      <w:r>
        <w:t>12.2</w:t>
      </w:r>
      <w:r>
        <w:rPr>
          <w:rFonts w:hint="eastAsia"/>
        </w:rPr>
        <w:t>对于没有提出澄清又参与了该项目投标的供应商将被视为完全认同该招标文件（含澄清纪要），投标截止期后不再受理针对招标文件的相关质疑或投诉。</w:t>
      </w:r>
    </w:p>
    <w:p>
      <w:pPr>
        <w:tabs>
          <w:tab w:val="clear" w:pos="426"/>
        </w:tabs>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pPr>
      <w:r>
        <w:t>13</w:t>
      </w:r>
      <w:r>
        <w:rPr>
          <w:rFonts w:hint="eastAsia"/>
        </w:rPr>
        <w:t>．招标文件的修改</w:t>
      </w:r>
    </w:p>
    <w:p>
      <w:pPr>
        <w:tabs>
          <w:tab w:val="clear" w:pos="426"/>
        </w:tabs>
      </w:pPr>
      <w:r>
        <w:t>13.1</w:t>
      </w:r>
      <w:r>
        <w:rPr>
          <w:rFonts w:hint="eastAsia"/>
        </w:rPr>
        <w:t>招标文件发出后，在投标截止日期前任何时候，确需要变更招标内容的，采购代理机构可主动地或在解答投标供应商提出的澄清问题时对招标文件进行修改；</w:t>
      </w:r>
    </w:p>
    <w:p>
      <w:pPr>
        <w:tabs>
          <w:tab w:val="clear" w:pos="426"/>
        </w:tabs>
      </w:pPr>
      <w:r>
        <w:t>13.2</w:t>
      </w:r>
      <w:r>
        <w:rPr>
          <w:rFonts w:hint="eastAsia"/>
        </w:rPr>
        <w:t>招标文件的修改以书面形式（包括网站公开发布方式）发送给所有投标供应商，招标文件的修改内容作为招标文件的组成部分，并具有约束力。</w:t>
      </w:r>
    </w:p>
    <w:p>
      <w:pPr>
        <w:tabs>
          <w:tab w:val="clear" w:pos="426"/>
        </w:tabs>
      </w:pPr>
      <w:r>
        <w:t>13.3</w:t>
      </w:r>
      <w:r>
        <w:rPr>
          <w:rFonts w:hint="eastAsia"/>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pPr>
      <w:r>
        <w:t>13.4</w:t>
      </w:r>
      <w:r>
        <w:rPr>
          <w:rFonts w:hint="eastAsia"/>
        </w:rPr>
        <w:t>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4"/>
      </w:pPr>
      <w:bookmarkStart w:id="151" w:name="_Toc530152524"/>
      <w:bookmarkStart w:id="152" w:name="_Toc120892184"/>
      <w:bookmarkStart w:id="153" w:name="_Toc529280583"/>
      <w:bookmarkStart w:id="154" w:name="_Toc14427256"/>
      <w:r>
        <w:rPr>
          <w:rFonts w:hint="eastAsia"/>
        </w:rPr>
        <w:t>第三章</w:t>
      </w:r>
      <w:r>
        <w:t xml:space="preserve"> </w:t>
      </w:r>
      <w:r>
        <w:rPr>
          <w:rFonts w:hint="eastAsia"/>
        </w:rPr>
        <w:t>投标文件的编制与递交</w:t>
      </w:r>
      <w:bookmarkEnd w:id="151"/>
      <w:bookmarkEnd w:id="152"/>
      <w:bookmarkEnd w:id="153"/>
      <w:bookmarkEnd w:id="154"/>
    </w:p>
    <w:p>
      <w:pPr>
        <w:tabs>
          <w:tab w:val="clear" w:pos="426"/>
        </w:tabs>
      </w:pPr>
      <w:r>
        <w:t>14</w:t>
      </w:r>
      <w:r>
        <w:rPr>
          <w:rFonts w:hint="eastAsia"/>
        </w:rPr>
        <w:t>．投标文件的语言及度量单位</w:t>
      </w:r>
    </w:p>
    <w:p>
      <w:pPr>
        <w:tabs>
          <w:tab w:val="clear" w:pos="426"/>
        </w:tabs>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pPr>
      <w:r>
        <w:t xml:space="preserve">14.2 </w:t>
      </w:r>
      <w:r>
        <w:rPr>
          <w:rFonts w:hint="eastAsia"/>
        </w:rPr>
        <w:t>除技术规范另有规定外，投标文件使用的度量单位，均采用中华人民共和国法定计量单位。</w:t>
      </w:r>
    </w:p>
    <w:p>
      <w:pPr>
        <w:tabs>
          <w:tab w:val="clear" w:pos="426"/>
        </w:tabs>
      </w:pPr>
      <w:r>
        <w:t>15</w:t>
      </w:r>
      <w:r>
        <w:rPr>
          <w:rFonts w:hint="eastAsia"/>
        </w:rPr>
        <w:t>．投标文件的组成</w:t>
      </w:r>
    </w:p>
    <w:p>
      <w:pPr>
        <w:tabs>
          <w:tab w:val="clear" w:pos="426"/>
        </w:tabs>
      </w:pPr>
      <w:r>
        <w:rPr>
          <w:rFonts w:hint="eastAsia"/>
        </w:rPr>
        <w:t>具体内容请详见本项目专用条款的相关内容。</w:t>
      </w:r>
    </w:p>
    <w:p>
      <w:pPr>
        <w:tabs>
          <w:tab w:val="clear" w:pos="426"/>
        </w:tabs>
      </w:pPr>
      <w:r>
        <w:t xml:space="preserve">16. </w:t>
      </w:r>
      <w:r>
        <w:rPr>
          <w:rFonts w:hint="eastAsia"/>
        </w:rPr>
        <w:t>投标文件格式</w:t>
      </w:r>
    </w:p>
    <w:p>
      <w:pPr>
        <w:tabs>
          <w:tab w:val="clear" w:pos="426"/>
        </w:tabs>
      </w:pPr>
      <w:r>
        <w:t>16.1</w:t>
      </w:r>
      <w:r>
        <w:rPr>
          <w:rFonts w:hint="eastAsia"/>
        </w:rPr>
        <w:t>投标文件包括本通用条款第</w:t>
      </w:r>
      <w:r>
        <w:t>15</w:t>
      </w:r>
      <w:r>
        <w:rPr>
          <w:rFonts w:hint="eastAsia"/>
        </w:rPr>
        <w:t>条中规定的内容。如招标文件提供了投标文件格式，则投标供应商提交的投标文件必须毫无例外地使用招标文件所提供的相应格式并统一使用</w:t>
      </w:r>
      <w:r>
        <w:t>A4</w:t>
      </w:r>
      <w:r>
        <w:rPr>
          <w:rFonts w:hint="eastAsia"/>
        </w:rPr>
        <w:t>篇幅（表格可以按同样格式扩展）。</w:t>
      </w:r>
    </w:p>
    <w:p>
      <w:pPr>
        <w:tabs>
          <w:tab w:val="clear" w:pos="426"/>
        </w:tabs>
      </w:pPr>
      <w:r>
        <w:t>17</w:t>
      </w:r>
      <w:r>
        <w:rPr>
          <w:rFonts w:hint="eastAsia"/>
        </w:rPr>
        <w:t>．投标货币</w:t>
      </w:r>
    </w:p>
    <w:p>
      <w:pPr>
        <w:tabs>
          <w:tab w:val="clear" w:pos="426"/>
        </w:tabs>
      </w:pPr>
      <w:r>
        <w:rPr>
          <w:rFonts w:hint="eastAsia"/>
        </w:rPr>
        <w:t>本项目的投标应以人民币计。</w:t>
      </w:r>
    </w:p>
    <w:p>
      <w:pPr>
        <w:widowControl w:val="0"/>
        <w:shd w:val="clear" w:color="auto" w:fill="auto"/>
        <w:tabs>
          <w:tab w:val="clear" w:pos="426"/>
        </w:tabs>
        <w:autoSpaceDE w:val="0"/>
        <w:autoSpaceDN w:val="0"/>
      </w:pPr>
      <w:r>
        <w:t xml:space="preserve">18. </w:t>
      </w:r>
      <w:r>
        <w:rPr>
          <w:rFonts w:hint="eastAsia"/>
        </w:rPr>
        <w:t>证明投标供应商合格和资格的文件</w:t>
      </w:r>
    </w:p>
    <w:p>
      <w:pPr>
        <w:widowControl w:val="0"/>
        <w:shd w:val="clear" w:color="auto" w:fill="auto"/>
        <w:tabs>
          <w:tab w:val="clear" w:pos="426"/>
        </w:tabs>
        <w:autoSpaceDE w:val="0"/>
        <w:autoSpaceDN w:val="0"/>
        <w:rPr>
          <w:rFonts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pPr>
      <w:r>
        <w:t>19</w:t>
      </w:r>
      <w:r>
        <w:rPr>
          <w:rFonts w:hint="eastAsia"/>
        </w:rPr>
        <w:t>．证明投标文件投标技术方案的合格性和符合招标文件规定的文件要求</w:t>
      </w:r>
    </w:p>
    <w:p>
      <w:pPr>
        <w:tabs>
          <w:tab w:val="clear" w:pos="426"/>
        </w:tabs>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pPr>
      <w:r>
        <w:t>19.2.1</w:t>
      </w:r>
      <w:r>
        <w:rPr>
          <w:rFonts w:hint="eastAsia"/>
        </w:rPr>
        <w:t>主要技术指标和性能的详细说明。</w:t>
      </w:r>
    </w:p>
    <w:p>
      <w:pPr>
        <w:tabs>
          <w:tab w:val="clear" w:pos="426"/>
        </w:tabs>
      </w:pPr>
      <w:r>
        <w:t>19.2.2</w:t>
      </w:r>
      <w:r>
        <w:rPr>
          <w:rFonts w:hint="eastAsia"/>
        </w:rPr>
        <w:t>投标产品从采购人开始使用至招标文件中规定的周期内正常、连续地使用所必须的备件和专用工具清单，包括备件和专用工具的货源及现行价格。</w:t>
      </w:r>
    </w:p>
    <w:p>
      <w:pPr>
        <w:tabs>
          <w:tab w:val="clear" w:pos="426"/>
        </w:tabs>
      </w:pPr>
      <w:r>
        <w:t>19.2.3</w:t>
      </w:r>
      <w:r>
        <w:rPr>
          <w:rFonts w:hint="eastAsia"/>
        </w:rPr>
        <w:t>对照招标文件技术规格，逐条说明投标技术方案已对采购人的技术规格做出了实质性的响应，或申明与技术规格条文的偏差和例外。投标供应商应详细说明投标技术方案中产品的具体参数，不得照搬照抄招标文件的技术要求。</w:t>
      </w:r>
    </w:p>
    <w:p>
      <w:pPr>
        <w:tabs>
          <w:tab w:val="clear" w:pos="426"/>
        </w:tabs>
      </w:pPr>
      <w:r>
        <w:t>19.2.4</w:t>
      </w:r>
      <w:r>
        <w:rPr>
          <w:rFonts w:hint="eastAsia"/>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pPr>
      <w:r>
        <w:t>19.2.5</w:t>
      </w:r>
      <w:r>
        <w:rPr>
          <w:rFonts w:hint="eastAsia"/>
        </w:rPr>
        <w:t>我国政府机构出具的产品检验和核准证件应为证件正面、背面和附件标注的全部具体内容；产品检验和核准证件应能清晰的阅读、识别和判断，提供原件复印件。</w:t>
      </w:r>
    </w:p>
    <w:p>
      <w:pPr>
        <w:tabs>
          <w:tab w:val="clear" w:pos="426"/>
        </w:tabs>
      </w:pPr>
      <w:r>
        <w:t>19.3</w:t>
      </w:r>
      <w:r>
        <w:rPr>
          <w:rFonts w:hint="eastAsia"/>
        </w:rPr>
        <w:t>相关资料不符合</w:t>
      </w:r>
      <w:r>
        <w:t>19.2</w:t>
      </w:r>
      <w:r>
        <w:rPr>
          <w:rFonts w:hint="eastAsia"/>
        </w:rPr>
        <w:t>款要求的，评标委员会有权认定为投标技术方案不合格响应，其相关分数予以扣减或作废标处理。</w:t>
      </w:r>
    </w:p>
    <w:p>
      <w:pPr>
        <w:tabs>
          <w:tab w:val="clear" w:pos="426"/>
        </w:tabs>
      </w:pPr>
      <w:r>
        <w:t>19.4</w:t>
      </w:r>
      <w:r>
        <w:rPr>
          <w:rFonts w:hint="eastAsia"/>
        </w:rPr>
        <w:t>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pPr>
      <w:r>
        <w:t>19.5</w:t>
      </w:r>
      <w:r>
        <w:rPr>
          <w:rFonts w:hint="eastAsia"/>
        </w:rPr>
        <w:t>投标供应商在阐述上述第</w:t>
      </w:r>
      <w:r>
        <w:t>18.2</w:t>
      </w:r>
      <w:r>
        <w:rPr>
          <w:rFonts w:hint="eastAsia"/>
        </w:rPr>
        <w:t>时应注意采购人在技术规格中指出的工艺、材料和设备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pPr>
      <w:r>
        <w:t>19.6</w:t>
      </w:r>
      <w:r>
        <w:rPr>
          <w:rFonts w:hint="eastAsia"/>
        </w:rPr>
        <w:t>为保证公平公正，除非另有规定或说明，投标供应商对同一货物或服务投标时，不得同时提供两套或两套以上的投标方案。</w:t>
      </w:r>
    </w:p>
    <w:p>
      <w:pPr>
        <w:tabs>
          <w:tab w:val="clear" w:pos="426"/>
        </w:tabs>
      </w:pPr>
      <w:r>
        <w:t>20</w:t>
      </w:r>
      <w:r>
        <w:rPr>
          <w:rFonts w:hint="eastAsia"/>
        </w:rPr>
        <w:t>．投标文件其他证明文件的要求</w:t>
      </w:r>
    </w:p>
    <w:p>
      <w:pPr>
        <w:tabs>
          <w:tab w:val="clear" w:pos="426"/>
        </w:tabs>
      </w:pPr>
      <w:r>
        <w:t>20.1</w:t>
      </w:r>
      <w:r>
        <w:rPr>
          <w:rFonts w:hint="eastAsia"/>
        </w:rPr>
        <w:t>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w:t>
      </w:r>
      <w:r>
        <w:t>0</w:t>
      </w:r>
      <w:r>
        <w:rPr>
          <w:rFonts w:hint="eastAsia"/>
        </w:rPr>
        <w:t>分处理。</w:t>
      </w:r>
    </w:p>
    <w:p>
      <w:pPr>
        <w:tabs>
          <w:tab w:val="clear" w:pos="426"/>
        </w:tabs>
      </w:pPr>
      <w:r>
        <w:t>20.2</w:t>
      </w:r>
      <w:r>
        <w:rPr>
          <w:rFonts w:hint="eastAsia"/>
        </w:rPr>
        <w:t>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pPr>
      <w:r>
        <w:t>21</w:t>
      </w:r>
      <w:r>
        <w:rPr>
          <w:rFonts w:hint="eastAsia"/>
        </w:rPr>
        <w:t>．投标有效期</w:t>
      </w:r>
    </w:p>
    <w:p>
      <w:pPr>
        <w:tabs>
          <w:tab w:val="clear" w:pos="426"/>
        </w:tabs>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w:t>
      </w:r>
      <w:r>
        <w:rPr>
          <w:rFonts w:hint="eastAsia"/>
        </w:rPr>
        <w:t>条关于投标保证金的退还与没收的规定仍然适用；</w:t>
      </w:r>
    </w:p>
    <w:p>
      <w:pPr>
        <w:tabs>
          <w:tab w:val="clear" w:pos="426"/>
        </w:tabs>
      </w:pPr>
      <w:r>
        <w:t xml:space="preserve">21.3 </w:t>
      </w:r>
      <w:r>
        <w:rPr>
          <w:rFonts w:hint="eastAsia"/>
        </w:rPr>
        <w:t>中标单位的投标书有效期，截止于完成本招标文件规定的全部项目内容，并通过竣工验收及保修结束。</w:t>
      </w:r>
    </w:p>
    <w:p>
      <w:pPr>
        <w:tabs>
          <w:tab w:val="clear" w:pos="426"/>
        </w:tabs>
      </w:pPr>
      <w:r>
        <w:t>22</w:t>
      </w:r>
      <w:r>
        <w:rPr>
          <w:rFonts w:hint="eastAsia"/>
        </w:rPr>
        <w:t>．投标保证金</w:t>
      </w:r>
    </w:p>
    <w:p>
      <w:pPr>
        <w:tabs>
          <w:tab w:val="clear" w:pos="426"/>
        </w:tabs>
      </w:pPr>
      <w:r>
        <w:t>22.1</w:t>
      </w:r>
      <w:r>
        <w:rPr>
          <w:rFonts w:hint="eastAsia"/>
        </w:rPr>
        <w:t>投标保证金的缴纳：</w:t>
      </w:r>
      <w:r>
        <w:rPr>
          <w:rFonts w:hint="eastAsia"/>
          <w:b/>
        </w:rPr>
        <w:t>（本项目不适用）</w:t>
      </w:r>
    </w:p>
    <w:p>
      <w:pPr>
        <w:tabs>
          <w:tab w:val="clear" w:pos="426"/>
        </w:tabs>
      </w:pPr>
      <w:r>
        <w:t>22.1.1</w:t>
      </w:r>
      <w:r>
        <w:rPr>
          <w:rFonts w:hint="eastAsia"/>
        </w:rPr>
        <w:t>缴纳投标保证金的方式：参与投标前须缴纳壹万元保证金，落标或中标项目完成后返还，参与投标前未缴纳的，其投标将不予受理。</w:t>
      </w:r>
    </w:p>
    <w:p>
      <w:pPr>
        <w:tabs>
          <w:tab w:val="clear" w:pos="426"/>
        </w:tabs>
      </w:pPr>
      <w:r>
        <w:t xml:space="preserve">22.1.2 </w:t>
      </w:r>
      <w:r>
        <w:rPr>
          <w:rFonts w:hint="eastAsia"/>
        </w:rPr>
        <w:t>若为重大项目，采购代理机构可自行决定另外收取投标保证金，不受</w:t>
      </w:r>
      <w:r>
        <w:t>22.1.1</w:t>
      </w:r>
      <w:r>
        <w:rPr>
          <w:rFonts w:hint="eastAsia"/>
        </w:rPr>
        <w:t>款限制。是否另外收取投标保证金，请见本招标文件专用条款《对通用条款的补充内容》中的相关要求。</w:t>
      </w:r>
    </w:p>
    <w:p>
      <w:pPr>
        <w:tabs>
          <w:tab w:val="clear" w:pos="426"/>
        </w:tabs>
        <w:rPr>
          <w:szCs w:val="21"/>
        </w:rPr>
      </w:pPr>
      <w:r>
        <w:rPr>
          <w:szCs w:val="21"/>
        </w:rPr>
        <w:t>22.2</w:t>
      </w:r>
      <w:r>
        <w:rPr>
          <w:rFonts w:hint="eastAsia"/>
        </w:rPr>
        <w:t>投标保证金是为了保护采购代理机构和采购人免因投标供应商的行为而蒙受损失。采购代理机构和采购人因投标供应商的行为受到损害时可根据本通用条款第</w:t>
      </w:r>
      <w:r>
        <w:rPr>
          <w:szCs w:val="21"/>
        </w:rPr>
        <w:t>22.3</w:t>
      </w:r>
      <w:r>
        <w:rPr>
          <w:rFonts w:hint="eastAsia"/>
          <w:szCs w:val="21"/>
        </w:rPr>
        <w:t>款</w:t>
      </w:r>
      <w:r>
        <w:rPr>
          <w:rFonts w:hint="eastAsia"/>
        </w:rPr>
        <w:t>的规定没收投标供应商的投标保证金。</w:t>
      </w:r>
    </w:p>
    <w:p>
      <w:pPr>
        <w:tabs>
          <w:tab w:val="clear" w:pos="426"/>
        </w:tabs>
      </w:pPr>
      <w:r>
        <w:t>22.3</w:t>
      </w:r>
      <w:r>
        <w:rPr>
          <w:rFonts w:hint="eastAsia"/>
        </w:rPr>
        <w:t>如下列任何情况发生时，投标保证金将被没收。</w:t>
      </w:r>
    </w:p>
    <w:p>
      <w:pPr>
        <w:tabs>
          <w:tab w:val="clear" w:pos="426"/>
        </w:tabs>
      </w:pPr>
      <w:r>
        <w:t>1</w:t>
      </w:r>
      <w:r>
        <w:rPr>
          <w:rFonts w:hint="eastAsia"/>
        </w:rPr>
        <w:t>）投标供应商在招标文件中规定的投标有效期内撤回其投标；</w:t>
      </w:r>
    </w:p>
    <w:p>
      <w:pPr>
        <w:tabs>
          <w:tab w:val="clear" w:pos="426"/>
        </w:tabs>
      </w:pPr>
      <w:r>
        <w:t>2</w:t>
      </w:r>
      <w:r>
        <w:rPr>
          <w:rFonts w:hint="eastAsia"/>
        </w:rPr>
        <w:t>）中标供应商在规定期限内未能根据本项通用条款第</w:t>
      </w:r>
      <w:r>
        <w:t>47</w:t>
      </w:r>
      <w:r>
        <w:rPr>
          <w:rFonts w:hint="eastAsia"/>
        </w:rPr>
        <w:t>条规定签订合同；</w:t>
      </w:r>
    </w:p>
    <w:p>
      <w:pPr>
        <w:tabs>
          <w:tab w:val="clear" w:pos="426"/>
        </w:tabs>
      </w:pPr>
      <w:r>
        <w:t>3</w:t>
      </w:r>
      <w:r>
        <w:rPr>
          <w:rFonts w:hint="eastAsia"/>
        </w:rPr>
        <w:t>）投标供应商提供虚假投标文件或虚假补充文件：</w:t>
      </w:r>
    </w:p>
    <w:p>
      <w:pPr>
        <w:tabs>
          <w:tab w:val="clear" w:pos="426"/>
        </w:tabs>
      </w:pPr>
      <w:r>
        <w:t>4</w:t>
      </w:r>
      <w:r>
        <w:rPr>
          <w:rFonts w:hint="eastAsia"/>
        </w:rPr>
        <w:t>）投标供应商以谋取中标为目的的技术规格模糊响应（如有意照搬照抄招标文件的技术要求）或虚假响应的；</w:t>
      </w:r>
    </w:p>
    <w:p>
      <w:pPr>
        <w:tabs>
          <w:tab w:val="clear" w:pos="426"/>
        </w:tabs>
      </w:pPr>
      <w:r>
        <w:t>5</w:t>
      </w:r>
      <w:r>
        <w:rPr>
          <w:rFonts w:hint="eastAsia"/>
        </w:rPr>
        <w:t>）投标供应商质疑投诉提供虚假情况。</w:t>
      </w:r>
    </w:p>
    <w:p>
      <w:pPr>
        <w:tabs>
          <w:tab w:val="clear" w:pos="426"/>
        </w:tabs>
      </w:pPr>
      <w:r>
        <w:t>22.4</w:t>
      </w:r>
      <w:r>
        <w:rPr>
          <w:rFonts w:hint="eastAsia"/>
        </w:rPr>
        <w:t>不再收取投标保证金。</w:t>
      </w:r>
    </w:p>
    <w:p>
      <w:pPr>
        <w:tabs>
          <w:tab w:val="clear" w:pos="426"/>
        </w:tabs>
      </w:pPr>
      <w:r>
        <w:t>23</w:t>
      </w:r>
      <w:r>
        <w:rPr>
          <w:rFonts w:hint="eastAsia"/>
        </w:rPr>
        <w:t>．投标供应商的替代方案</w:t>
      </w:r>
    </w:p>
    <w:p>
      <w:pPr>
        <w:tabs>
          <w:tab w:val="clear" w:pos="426"/>
        </w:tabs>
      </w:pPr>
      <w:r>
        <w:t>23.1</w:t>
      </w:r>
      <w:r>
        <w:rPr>
          <w:rFonts w:hint="eastAsia"/>
        </w:rPr>
        <w:t>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pPr>
      <w:r>
        <w:t>24</w:t>
      </w:r>
      <w:r>
        <w:rPr>
          <w:rFonts w:hint="eastAsia"/>
        </w:rPr>
        <w:t>．</w:t>
      </w:r>
      <w:r>
        <w:t xml:space="preserve"> </w:t>
      </w:r>
      <w:r>
        <w:rPr>
          <w:rFonts w:hint="eastAsia"/>
        </w:rPr>
        <w:t>投标文件的密封、标记和装订</w:t>
      </w:r>
    </w:p>
    <w:p>
      <w:pPr>
        <w:widowControl w:val="0"/>
        <w:shd w:val="clear" w:color="auto" w:fill="auto"/>
        <w:tabs>
          <w:tab w:val="clear" w:pos="426"/>
        </w:tabs>
        <w:autoSpaceDE w:val="0"/>
        <w:autoSpaceDN w:val="0"/>
        <w:rPr>
          <w:rFonts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w:t>
      </w:r>
      <w:r>
        <w:rPr>
          <w:rFonts w:hint="eastAsia" w:cs="黑体"/>
          <w:bCs/>
          <w:szCs w:val="21"/>
        </w:rPr>
        <w:t>报价表</w:t>
      </w:r>
      <w:r>
        <w:rPr>
          <w:rFonts w:cs="黑体"/>
          <w:bCs/>
          <w:szCs w:val="21"/>
        </w:rPr>
        <w:t>)</w:t>
      </w:r>
      <w:r>
        <w:rPr>
          <w:rFonts w:hint="eastAsia" w:cs="黑体"/>
          <w:bCs/>
          <w:szCs w:val="21"/>
        </w:rPr>
        <w:t>、法定代表人证明书或法定代表人授权委托书、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w:t>
      </w:r>
      <w:r>
        <w:rPr>
          <w:rFonts w:hint="eastAsia"/>
        </w:rPr>
        <w:t>篇幅装订成一册，装订应牢固不可拆卸。装订好的投标文件密封包装在一个外密封袋中，并在外密封袋上注明：</w:t>
      </w:r>
    </w:p>
    <w:p>
      <w:pPr>
        <w:tabs>
          <w:tab w:val="clear" w:pos="426"/>
        </w:tabs>
      </w:pPr>
      <w:r>
        <w:rPr>
          <w:rFonts w:hint="eastAsia"/>
        </w:rPr>
        <w:t>投标文件</w:t>
      </w:r>
    </w:p>
    <w:p>
      <w:pPr>
        <w:tabs>
          <w:tab w:val="clear" w:pos="426"/>
        </w:tabs>
      </w:pPr>
      <w:r>
        <w:rPr>
          <w:rFonts w:hint="eastAsia"/>
        </w:rPr>
        <w:t>项目编号：</w:t>
      </w:r>
    </w:p>
    <w:p>
      <w:pPr>
        <w:tabs>
          <w:tab w:val="clear" w:pos="426"/>
        </w:tabs>
      </w:pPr>
      <w:r>
        <w:rPr>
          <w:rFonts w:hint="eastAsia"/>
        </w:rPr>
        <w:t>项目名称：</w:t>
      </w:r>
    </w:p>
    <w:p>
      <w:pPr>
        <w:tabs>
          <w:tab w:val="clear" w:pos="426"/>
        </w:tabs>
      </w:pPr>
      <w:r>
        <w:rPr>
          <w:rFonts w:hint="eastAsia"/>
        </w:rPr>
        <w:t>投标供应商名称（盖章）：</w:t>
      </w:r>
    </w:p>
    <w:p>
      <w:pPr>
        <w:tabs>
          <w:tab w:val="clear" w:pos="426"/>
        </w:tabs>
      </w:pPr>
      <w:r>
        <w:rPr>
          <w:rFonts w:hint="eastAsia"/>
        </w:rPr>
        <w:t>投标截止时间：</w:t>
      </w:r>
      <w:r>
        <w:rPr>
          <w:u w:val="single"/>
        </w:rPr>
        <w:t>_______</w:t>
      </w:r>
      <w:r>
        <w:rPr>
          <w:rFonts w:hint="eastAsia"/>
          <w:u w:val="single"/>
        </w:rPr>
        <w:t>年</w:t>
      </w:r>
      <w:r>
        <w:rPr>
          <w:u w:val="single"/>
        </w:rPr>
        <w:t>______</w:t>
      </w:r>
      <w:r>
        <w:rPr>
          <w:rFonts w:hint="eastAsia"/>
          <w:u w:val="single"/>
        </w:rPr>
        <w:t>月</w:t>
      </w:r>
      <w:r>
        <w:rPr>
          <w:u w:val="single"/>
        </w:rPr>
        <w:t>______</w:t>
      </w:r>
      <w:r>
        <w:rPr>
          <w:rFonts w:hint="eastAsia"/>
          <w:u w:val="single"/>
        </w:rPr>
        <w:t>日</w:t>
      </w:r>
      <w:r>
        <w:rPr>
          <w:u w:val="single"/>
        </w:rPr>
        <w:t>______</w:t>
      </w:r>
      <w:r>
        <w:rPr>
          <w:rFonts w:hint="eastAsia"/>
          <w:u w:val="single"/>
        </w:rPr>
        <w:t>时</w:t>
      </w:r>
      <w:r>
        <w:rPr>
          <w:u w:val="single"/>
        </w:rPr>
        <w:t>______</w:t>
      </w:r>
      <w:r>
        <w:rPr>
          <w:rFonts w:hint="eastAsia"/>
          <w:u w:val="single"/>
        </w:rPr>
        <w:t>分（前不得开封）</w:t>
      </w:r>
      <w:r>
        <w:rPr>
          <w:rFonts w:hint="eastAsia"/>
        </w:rPr>
        <w:t>。</w:t>
      </w:r>
    </w:p>
    <w:p>
      <w:pPr>
        <w:tabs>
          <w:tab w:val="clear" w:pos="426"/>
        </w:tabs>
      </w:pPr>
      <w:r>
        <w:t xml:space="preserve">24.3  </w:t>
      </w:r>
      <w:r>
        <w:rPr>
          <w:rFonts w:hint="eastAsia"/>
        </w:rPr>
        <w:t>所有投标文件的密封袋的封口处均应加盖投标供应商公章。</w:t>
      </w:r>
    </w:p>
    <w:p>
      <w:pPr>
        <w:tabs>
          <w:tab w:val="clear" w:pos="426"/>
        </w:tabs>
      </w:pPr>
      <w:r>
        <w:t xml:space="preserve">24.4  </w:t>
      </w:r>
      <w:r>
        <w:rPr>
          <w:rFonts w:hint="eastAsia"/>
        </w:rPr>
        <w:t>对于因标书标识不清、装订不牢、密封不严等导致的不利后果由该投标供应商自负。</w:t>
      </w:r>
    </w:p>
    <w:p>
      <w:pPr>
        <w:tabs>
          <w:tab w:val="clear" w:pos="426"/>
        </w:tabs>
        <w:rPr>
          <w:szCs w:val="21"/>
        </w:rPr>
      </w:pPr>
      <w:r>
        <w:rPr>
          <w:szCs w:val="21"/>
        </w:rPr>
        <w:t xml:space="preserve">24.5  </w:t>
      </w:r>
      <w:r>
        <w:rPr>
          <w:rFonts w:hint="eastAsia"/>
          <w:szCs w:val="21"/>
        </w:rPr>
        <w:t>投标方应将投标文件按</w:t>
      </w:r>
      <w:r>
        <w:rPr>
          <w:szCs w:val="21"/>
        </w:rPr>
        <w:t>24.1-24.2</w:t>
      </w:r>
      <w:r>
        <w:rPr>
          <w:rFonts w:hint="eastAsia"/>
          <w:szCs w:val="21"/>
        </w:rPr>
        <w:t>中的规定进行密封和标记后，按专用条款中招标公告注明的地址送至招标机构。</w:t>
      </w:r>
    </w:p>
    <w:p>
      <w:pPr>
        <w:tabs>
          <w:tab w:val="clear" w:pos="426"/>
        </w:tabs>
        <w:rPr>
          <w:szCs w:val="21"/>
        </w:rPr>
      </w:pPr>
      <w:r>
        <w:rPr>
          <w:szCs w:val="21"/>
        </w:rPr>
        <w:t xml:space="preserve">24.6  </w:t>
      </w:r>
      <w:r>
        <w:rPr>
          <w:rFonts w:hint="eastAsia"/>
          <w:szCs w:val="21"/>
        </w:rPr>
        <w:t>邮寄、电报、电话、传真形式的投标概不接受。</w:t>
      </w:r>
    </w:p>
    <w:p>
      <w:pPr>
        <w:tabs>
          <w:tab w:val="clear" w:pos="426"/>
        </w:tabs>
        <w:rPr>
          <w:b/>
          <w:szCs w:val="21"/>
        </w:rPr>
      </w:pPr>
      <w:r>
        <w:rPr>
          <w:b/>
          <w:szCs w:val="21"/>
        </w:rPr>
        <w:t xml:space="preserve">24.7  </w:t>
      </w:r>
      <w:r>
        <w:rPr>
          <w:rFonts w:hint="eastAsia"/>
          <w:b/>
          <w:bCs/>
          <w:szCs w:val="21"/>
        </w:rPr>
        <w:t>投标文件电子版：电子光盘一张（</w:t>
      </w:r>
      <w:r>
        <w:rPr>
          <w:b/>
          <w:bCs/>
          <w:szCs w:val="21"/>
        </w:rPr>
        <w:t>WORD</w:t>
      </w:r>
      <w:r>
        <w:rPr>
          <w:rFonts w:hint="eastAsia"/>
          <w:b/>
          <w:bCs/>
          <w:szCs w:val="21"/>
        </w:rPr>
        <w:t>及投标文件正本盖章后的彩色复印件，复印件要求为</w:t>
      </w:r>
      <w:r>
        <w:rPr>
          <w:b/>
          <w:bCs/>
          <w:szCs w:val="21"/>
        </w:rPr>
        <w:t>PDF</w:t>
      </w:r>
      <w:r>
        <w:rPr>
          <w:rFonts w:hint="eastAsia"/>
          <w:b/>
          <w:bCs/>
          <w:szCs w:val="21"/>
        </w:rPr>
        <w:t>格式），请将该光盘放在开标信封中，并在光盘上标明项目编号、项目名称及投标供应商名称。</w:t>
      </w:r>
    </w:p>
    <w:p>
      <w:pPr>
        <w:tabs>
          <w:tab w:val="clear" w:pos="426"/>
        </w:tabs>
        <w:rPr>
          <w:szCs w:val="21"/>
        </w:rPr>
      </w:pPr>
      <w:r>
        <w:rPr>
          <w:szCs w:val="21"/>
        </w:rPr>
        <w:t>25</w:t>
      </w:r>
      <w:r>
        <w:rPr>
          <w:rFonts w:hint="eastAsia"/>
          <w:szCs w:val="21"/>
        </w:rPr>
        <w:t>．</w:t>
      </w:r>
      <w:r>
        <w:rPr>
          <w:szCs w:val="21"/>
        </w:rPr>
        <w:t xml:space="preserve"> </w:t>
      </w:r>
      <w:r>
        <w:rPr>
          <w:rFonts w:hint="eastAsia"/>
          <w:szCs w:val="21"/>
        </w:rPr>
        <w:t>投标截止时间</w:t>
      </w:r>
    </w:p>
    <w:p>
      <w:pPr>
        <w:tabs>
          <w:tab w:val="clear" w:pos="426"/>
        </w:tabs>
        <w:rPr>
          <w:szCs w:val="21"/>
        </w:rPr>
      </w:pPr>
      <w:r>
        <w:rPr>
          <w:rFonts w:hint="eastAsia"/>
          <w:szCs w:val="21"/>
        </w:rPr>
        <w:t>招标机构在投标供应商须知第</w:t>
      </w:r>
      <w:r>
        <w:rPr>
          <w:szCs w:val="21"/>
        </w:rPr>
        <w:t>24.5</w:t>
      </w:r>
      <w:r>
        <w:rPr>
          <w:rFonts w:hint="eastAsia"/>
          <w:szCs w:val="21"/>
        </w:rPr>
        <w:t>条规定的地址收到投标书的时间不得迟于</w:t>
      </w:r>
      <w:r>
        <w:rPr>
          <w:szCs w:val="21"/>
        </w:rPr>
        <w:t>“</w:t>
      </w:r>
      <w:r>
        <w:rPr>
          <w:rFonts w:hint="eastAsia"/>
          <w:szCs w:val="21"/>
        </w:rPr>
        <w:t>投标供应商须知前附表</w:t>
      </w:r>
      <w:r>
        <w:rPr>
          <w:szCs w:val="21"/>
        </w:rPr>
        <w:t>”</w:t>
      </w:r>
      <w:r>
        <w:rPr>
          <w:rFonts w:hint="eastAsia"/>
          <w:szCs w:val="21"/>
        </w:rPr>
        <w:t>第</w:t>
      </w:r>
      <w:r>
        <w:rPr>
          <w:szCs w:val="21"/>
        </w:rPr>
        <w:t>19</w:t>
      </w:r>
      <w:r>
        <w:rPr>
          <w:rFonts w:hint="eastAsia"/>
          <w:szCs w:val="21"/>
        </w:rPr>
        <w:t>项所规定的时间。</w:t>
      </w:r>
    </w:p>
    <w:p>
      <w:pPr>
        <w:tabs>
          <w:tab w:val="clear" w:pos="426"/>
        </w:tabs>
        <w:rPr>
          <w:szCs w:val="21"/>
        </w:rPr>
      </w:pPr>
      <w:r>
        <w:rPr>
          <w:szCs w:val="21"/>
        </w:rPr>
        <w:t>26</w:t>
      </w:r>
      <w:r>
        <w:rPr>
          <w:rFonts w:hint="eastAsia"/>
          <w:szCs w:val="21"/>
        </w:rPr>
        <w:t>．迟交的投标书</w:t>
      </w:r>
    </w:p>
    <w:p>
      <w:pPr>
        <w:tabs>
          <w:tab w:val="clear" w:pos="426"/>
        </w:tabs>
        <w:rPr>
          <w:szCs w:val="21"/>
        </w:rPr>
      </w:pPr>
      <w:r>
        <w:rPr>
          <w:szCs w:val="21"/>
        </w:rPr>
        <w:t xml:space="preserve">    </w:t>
      </w:r>
      <w:r>
        <w:rPr>
          <w:rFonts w:hint="eastAsia"/>
          <w:szCs w:val="21"/>
        </w:rPr>
        <w:t>按照本通用条款第</w:t>
      </w:r>
      <w:r>
        <w:rPr>
          <w:szCs w:val="21"/>
        </w:rPr>
        <w:t>25</w:t>
      </w:r>
      <w:r>
        <w:rPr>
          <w:rFonts w:hint="eastAsia"/>
          <w:szCs w:val="21"/>
        </w:rPr>
        <w:t>条规定，招标机构将拒绝并原封退回在其规定的投标截止期后收到的任何投标书。</w:t>
      </w:r>
    </w:p>
    <w:p>
      <w:pPr>
        <w:tabs>
          <w:tab w:val="clear" w:pos="426"/>
        </w:tabs>
      </w:pPr>
      <w:r>
        <w:t>27</w:t>
      </w:r>
      <w:r>
        <w:rPr>
          <w:rFonts w:hint="eastAsia"/>
        </w:rPr>
        <w:t>．</w:t>
      </w:r>
      <w:r>
        <w:t xml:space="preserve"> </w:t>
      </w:r>
      <w:r>
        <w:rPr>
          <w:rFonts w:hint="eastAsia"/>
        </w:rPr>
        <w:t>投标文件的提交和截标时投标文件的数量要求</w:t>
      </w:r>
    </w:p>
    <w:p>
      <w:pPr>
        <w:tabs>
          <w:tab w:val="clear" w:pos="426"/>
        </w:tabs>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pPr>
      <w:r>
        <w:t xml:space="preserve">27.2  </w:t>
      </w:r>
      <w:r>
        <w:rPr>
          <w:rFonts w:hint="eastAsia"/>
        </w:rPr>
        <w:t>截标时递交标书的投标供应商数量未达到法定家数的，采购代理机构将按法律法规的规定暂停开标和评标程序。如导致招标失败，采购人或采购代理机构将不负担因此给投标供应商造成的损失。</w:t>
      </w:r>
    </w:p>
    <w:p>
      <w:pPr>
        <w:tabs>
          <w:tab w:val="clear" w:pos="426"/>
        </w:tabs>
      </w:pPr>
      <w:r>
        <w:t>28</w:t>
      </w:r>
      <w:r>
        <w:rPr>
          <w:rFonts w:hint="eastAsia"/>
        </w:rPr>
        <w:t>．</w:t>
      </w:r>
      <w:r>
        <w:t xml:space="preserve">  </w:t>
      </w:r>
      <w:r>
        <w:rPr>
          <w:rFonts w:hint="eastAsia"/>
        </w:rPr>
        <w:t>投标文件的修改或撤回</w:t>
      </w:r>
    </w:p>
    <w:p>
      <w:pPr>
        <w:tabs>
          <w:tab w:val="clear" w:pos="426"/>
        </w:tabs>
      </w:pPr>
      <w:r>
        <w:t xml:space="preserve">28.1  </w:t>
      </w:r>
      <w:r>
        <w:rPr>
          <w:rFonts w:hint="eastAsia"/>
        </w:rPr>
        <w:t>投标供应商已提交投标文件，规定的投标截止时间还未到，投标供应商可提出对其投标文件的修改或撤回。投标供应商须提交由投标供应商代表签名的修改或撤回的书面通知。</w:t>
      </w:r>
    </w:p>
    <w:p>
      <w:pPr>
        <w:tabs>
          <w:tab w:val="clear" w:pos="426"/>
        </w:tabs>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pPr>
      <w:r>
        <w:t xml:space="preserve">28.3  </w:t>
      </w:r>
      <w:r>
        <w:rPr>
          <w:rFonts w:hint="eastAsia"/>
        </w:rPr>
        <w:t>投标供应商的修改文件应按照本招标文件的规定进行编制、密封、标记和提交，并在密封袋上注明“投标修改”。</w:t>
      </w:r>
    </w:p>
    <w:p>
      <w:pPr>
        <w:tabs>
          <w:tab w:val="clear" w:pos="426"/>
        </w:tabs>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pPr>
      <w:r>
        <w:t xml:space="preserve">28.5  </w:t>
      </w:r>
      <w:r>
        <w:rPr>
          <w:rFonts w:hint="eastAsia"/>
        </w:rPr>
        <w:t>评标结束后，不论中标与否，投标供应商均不得收回投标文件。</w:t>
      </w:r>
    </w:p>
    <w:p>
      <w:pPr>
        <w:pStyle w:val="4"/>
      </w:pPr>
      <w:bookmarkStart w:id="155" w:name="_Toc14427257"/>
      <w:bookmarkStart w:id="156" w:name="_Toc529280584"/>
      <w:bookmarkStart w:id="157" w:name="_Toc530152525"/>
      <w:bookmarkStart w:id="158" w:name="_Toc120892185"/>
      <w:r>
        <w:rPr>
          <w:rFonts w:hint="eastAsia"/>
        </w:rPr>
        <w:t>第四章</w:t>
      </w:r>
      <w:r>
        <w:t xml:space="preserve"> </w:t>
      </w:r>
      <w:r>
        <w:rPr>
          <w:rFonts w:hint="eastAsia"/>
        </w:rPr>
        <w:t>开标</w:t>
      </w:r>
      <w:bookmarkEnd w:id="155"/>
      <w:bookmarkEnd w:id="156"/>
      <w:bookmarkEnd w:id="157"/>
      <w:bookmarkEnd w:id="158"/>
    </w:p>
    <w:p>
      <w:pPr>
        <w:tabs>
          <w:tab w:val="clear" w:pos="426"/>
        </w:tabs>
      </w:pPr>
      <w:r>
        <w:t>29</w:t>
      </w:r>
      <w:r>
        <w:rPr>
          <w:rFonts w:hint="eastAsia"/>
        </w:rPr>
        <w:t>．　开标</w:t>
      </w:r>
    </w:p>
    <w:p>
      <w:pPr>
        <w:tabs>
          <w:tab w:val="clear" w:pos="426"/>
        </w:tabs>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pPr>
      <w:r>
        <w:t xml:space="preserve">29.3  </w:t>
      </w:r>
      <w:r>
        <w:rPr>
          <w:rFonts w:hint="eastAsia"/>
        </w:rPr>
        <w:t>开标会由采购代理机构主持，开标程序如下：</w:t>
      </w:r>
    </w:p>
    <w:p>
      <w:pPr>
        <w:tabs>
          <w:tab w:val="clear" w:pos="426"/>
        </w:tabs>
      </w:pPr>
      <w:r>
        <w:t xml:space="preserve">29.3.1  </w:t>
      </w:r>
      <w:r>
        <w:rPr>
          <w:rFonts w:hint="eastAsia"/>
        </w:rPr>
        <w:t>采购代理机构核对法人代表或其授权代表身份证明，若不能提供相应的身份证明或不相符，则不能参与开标会议；</w:t>
      </w:r>
      <w:r>
        <w:t xml:space="preserve"> </w:t>
      </w:r>
    </w:p>
    <w:p>
      <w:pPr>
        <w:tabs>
          <w:tab w:val="clear" w:pos="426"/>
        </w:tabs>
        <w:rPr>
          <w:szCs w:val="21"/>
        </w:rPr>
      </w:pPr>
      <w:r>
        <w:rPr>
          <w:szCs w:val="21"/>
        </w:rPr>
        <w:t xml:space="preserve">29.3.2  </w:t>
      </w:r>
      <w:r>
        <w:rPr>
          <w:rFonts w:hint="eastAsia"/>
          <w:szCs w:val="21"/>
        </w:rPr>
        <w:t>招标机构将按“招标公告”规定的时间和地点组织公开开标。投标供应商应委派代表参加，参加开标的代表应签名报到以证明出席。</w:t>
      </w:r>
    </w:p>
    <w:p>
      <w:pPr>
        <w:tabs>
          <w:tab w:val="clear" w:pos="426"/>
        </w:tabs>
        <w:rPr>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szCs w:val="21"/>
        </w:rPr>
      </w:pPr>
      <w:r>
        <w:rPr>
          <w:rFonts w:hint="eastAsia"/>
          <w:szCs w:val="21"/>
        </w:rPr>
        <w:t>除了按照本通用条款第</w:t>
      </w:r>
      <w:r>
        <w:rPr>
          <w:szCs w:val="21"/>
        </w:rPr>
        <w:t>26</w:t>
      </w:r>
      <w:r>
        <w:rPr>
          <w:rFonts w:hint="eastAsia"/>
          <w:szCs w:val="21"/>
        </w:rPr>
        <w:t>条规定原封退回的投标之外，开标时将不得拒绝任何投标书。</w:t>
      </w:r>
    </w:p>
    <w:p>
      <w:pPr>
        <w:tabs>
          <w:tab w:val="clear" w:pos="426"/>
        </w:tabs>
        <w:rPr>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szCs w:val="21"/>
        </w:rPr>
      </w:pPr>
      <w:r>
        <w:rPr>
          <w:szCs w:val="21"/>
        </w:rPr>
        <w:t xml:space="preserve">29.3.5  </w:t>
      </w:r>
      <w:r>
        <w:rPr>
          <w:rFonts w:hint="eastAsia"/>
          <w:szCs w:val="21"/>
        </w:rPr>
        <w:t>按照投标供应商须知第</w:t>
      </w:r>
      <w:r>
        <w:rPr>
          <w:szCs w:val="21"/>
        </w:rPr>
        <w:t>28</w:t>
      </w:r>
      <w:r>
        <w:rPr>
          <w:rFonts w:hint="eastAsia"/>
          <w:szCs w:val="21"/>
        </w:rPr>
        <w:t>条规定，提交了可接受的</w:t>
      </w:r>
      <w:r>
        <w:rPr>
          <w:szCs w:val="21"/>
        </w:rPr>
        <w:t>“</w:t>
      </w:r>
      <w:r>
        <w:rPr>
          <w:rFonts w:hint="eastAsia"/>
          <w:szCs w:val="21"/>
        </w:rPr>
        <w:t>撤回</w:t>
      </w:r>
      <w:r>
        <w:rPr>
          <w:szCs w:val="21"/>
        </w:rPr>
        <w:t>”</w:t>
      </w:r>
      <w:r>
        <w:rPr>
          <w:rFonts w:hint="eastAsia"/>
          <w:szCs w:val="21"/>
        </w:rPr>
        <w:t>通知的投标将不予开封。</w:t>
      </w:r>
    </w:p>
    <w:p>
      <w:pPr>
        <w:tabs>
          <w:tab w:val="clear" w:pos="426"/>
        </w:tabs>
        <w:rPr>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szCs w:val="21"/>
        </w:rPr>
      </w:pPr>
      <w:r>
        <w:rPr>
          <w:szCs w:val="21"/>
        </w:rPr>
        <w:t xml:space="preserve">29.3.7  </w:t>
      </w:r>
      <w:r>
        <w:rPr>
          <w:rFonts w:hint="eastAsia"/>
          <w:szCs w:val="21"/>
        </w:rPr>
        <w:t>招标机构将做开标记录，开标记录包括按本通用条款第</w:t>
      </w:r>
      <w:r>
        <w:rPr>
          <w:szCs w:val="21"/>
        </w:rPr>
        <w:t>29.3.3</w:t>
      </w:r>
      <w:r>
        <w:rPr>
          <w:rFonts w:hint="eastAsia"/>
          <w:szCs w:val="21"/>
        </w:rPr>
        <w:t>的规定在开标时宣读的全部内容。</w:t>
      </w:r>
    </w:p>
    <w:p>
      <w:pPr>
        <w:tabs>
          <w:tab w:val="clear" w:pos="426"/>
        </w:tabs>
      </w:pPr>
      <w:r>
        <w:t xml:space="preserve">29.3.8  </w:t>
      </w:r>
      <w:r>
        <w:rPr>
          <w:rFonts w:hint="eastAsia"/>
        </w:rPr>
        <w:t>供应商在开标过程中知道或者应知其权益受到损害时必须现场明确提出，未明确提出的，即视为认可开标结果。</w:t>
      </w:r>
    </w:p>
    <w:p>
      <w:pPr>
        <w:pStyle w:val="4"/>
      </w:pPr>
      <w:bookmarkStart w:id="159" w:name="_Toc530152526"/>
      <w:bookmarkStart w:id="160" w:name="_Toc120892186"/>
      <w:bookmarkStart w:id="161" w:name="_Toc14427258"/>
      <w:bookmarkStart w:id="162" w:name="_Toc529280585"/>
      <w:r>
        <w:rPr>
          <w:rFonts w:hint="eastAsia"/>
        </w:rPr>
        <w:t>第五章</w:t>
      </w:r>
      <w:r>
        <w:t xml:space="preserve"> </w:t>
      </w:r>
      <w:r>
        <w:rPr>
          <w:rFonts w:hint="eastAsia"/>
        </w:rPr>
        <w:t>评标要求</w:t>
      </w:r>
      <w:bookmarkEnd w:id="159"/>
      <w:bookmarkEnd w:id="160"/>
      <w:bookmarkEnd w:id="161"/>
      <w:bookmarkEnd w:id="162"/>
    </w:p>
    <w:p>
      <w:pPr>
        <w:tabs>
          <w:tab w:val="clear" w:pos="426"/>
        </w:tabs>
      </w:pPr>
      <w:r>
        <w:t>30</w:t>
      </w:r>
      <w:r>
        <w:rPr>
          <w:rFonts w:hint="eastAsia"/>
        </w:rPr>
        <w:t>．评标委员会组成</w:t>
      </w:r>
    </w:p>
    <w:p>
      <w:pPr>
        <w:tabs>
          <w:tab w:val="clear" w:pos="426"/>
        </w:tabs>
      </w:pPr>
      <w:r>
        <w:t>30.1</w:t>
      </w:r>
      <w:r>
        <w:rPr>
          <w:rFonts w:hint="eastAsia"/>
        </w:rPr>
        <w:t>开标结束后召开评标会议，评标委员会由采购代理机构依法组建，负责评标活动。</w:t>
      </w:r>
    </w:p>
    <w:p>
      <w:pPr>
        <w:tabs>
          <w:tab w:val="clear" w:pos="426"/>
        </w:tabs>
      </w:pPr>
      <w:r>
        <w:rPr>
          <w:rFonts w:hint="eastAsia"/>
        </w:rPr>
        <w:t>评标委员会的组成及行为规范执行《中华人民共和国政府采购法》《中华人民共和国政府采购法实施条例》，评标委员会由采购人代表和有关技术、经济等方面的专家组成，成员人数为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pPr>
      <w:r>
        <w:rPr>
          <w:rFonts w:hint="eastAsia"/>
        </w:rPr>
        <w:t>为保证评委人选的专业性，以及评标中的公平公正性，评标委员会成员从深圳市财政委员会评标专家库中随机抽取。</w:t>
      </w:r>
    </w:p>
    <w:p>
      <w:pPr>
        <w:tabs>
          <w:tab w:val="clear" w:pos="426"/>
        </w:tabs>
      </w:pPr>
      <w:r>
        <w:rPr>
          <w:rFonts w:hint="eastAsia"/>
        </w:rPr>
        <w:t>采购人代表须持本单位签发的《评标授权书》参加评标。</w:t>
      </w:r>
    </w:p>
    <w:p>
      <w:pPr>
        <w:tabs>
          <w:tab w:val="clear" w:pos="426"/>
        </w:tabs>
      </w:pPr>
      <w:r>
        <w:rPr>
          <w:rFonts w:hint="eastAsia"/>
        </w:rPr>
        <w:t>采购人无代表参与评标，应在开标前一天提交《采购人不派评委参与项目评标承诺书》给采购代理机构。</w:t>
      </w:r>
    </w:p>
    <w:p>
      <w:pPr>
        <w:tabs>
          <w:tab w:val="clear" w:pos="426"/>
        </w:tabs>
        <w:rPr>
          <w:sz w:val="24"/>
        </w:rPr>
      </w:pPr>
      <w:r>
        <w:rPr>
          <w:rFonts w:hint="eastAsia"/>
        </w:rPr>
        <w:t>注：《评标授权书》《采购人不派评委参与项目评标承诺书》模板由采购代理机构提供</w:t>
      </w:r>
      <w:r>
        <w:rPr>
          <w:rFonts w:hint="eastAsia"/>
          <w:sz w:val="24"/>
        </w:rPr>
        <w:t>。</w:t>
      </w:r>
    </w:p>
    <w:p>
      <w:pPr>
        <w:tabs>
          <w:tab w:val="clear" w:pos="426"/>
        </w:tabs>
      </w:pPr>
      <w:r>
        <w:t>30.2</w:t>
      </w:r>
      <w:r>
        <w:rPr>
          <w:rFonts w:hint="eastAsia"/>
        </w:rPr>
        <w:t>评标定标应当遵循公平、公正、科学、择优的原则。</w:t>
      </w:r>
    </w:p>
    <w:p>
      <w:pPr>
        <w:tabs>
          <w:tab w:val="clear" w:pos="426"/>
        </w:tabs>
      </w:pPr>
      <w:r>
        <w:t>30.3</w:t>
      </w:r>
      <w:r>
        <w:rPr>
          <w:rFonts w:hint="eastAsia"/>
        </w:rPr>
        <w:t>评标活动依法进行，任何单位和个人不得非法干预评标过程和结果。</w:t>
      </w:r>
    </w:p>
    <w:p>
      <w:pPr>
        <w:tabs>
          <w:tab w:val="clear" w:pos="426"/>
        </w:tabs>
      </w:pPr>
      <w:r>
        <w:t>30.4</w:t>
      </w:r>
      <w:r>
        <w:rPr>
          <w:rFonts w:hint="eastAsia"/>
        </w:rPr>
        <w:t>评标过程中不允许违背评标程序或采用招标文件未载明的评标方法或评标因素进行评标。</w:t>
      </w:r>
    </w:p>
    <w:p>
      <w:pPr>
        <w:tabs>
          <w:tab w:val="clear" w:pos="426"/>
        </w:tabs>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pPr>
      <w:r>
        <w:t>31</w:t>
      </w:r>
      <w:r>
        <w:rPr>
          <w:rFonts w:hint="eastAsia"/>
        </w:rPr>
        <w:t>．向评标委员会提供的资料</w:t>
      </w:r>
    </w:p>
    <w:p>
      <w:pPr>
        <w:tabs>
          <w:tab w:val="clear" w:pos="426"/>
        </w:tabs>
      </w:pPr>
      <w:r>
        <w:t>31.1</w:t>
      </w:r>
      <w:r>
        <w:rPr>
          <w:rFonts w:hint="eastAsia"/>
        </w:rPr>
        <w:t>公开发布的招标文件，包括图纸、服务清单、答疑文件等；</w:t>
      </w:r>
    </w:p>
    <w:p>
      <w:pPr>
        <w:tabs>
          <w:tab w:val="clear" w:pos="426"/>
        </w:tabs>
      </w:pPr>
      <w:r>
        <w:t>31.2</w:t>
      </w:r>
      <w:r>
        <w:rPr>
          <w:rFonts w:hint="eastAsia"/>
        </w:rPr>
        <w:t>其他评标必须的资料。</w:t>
      </w:r>
    </w:p>
    <w:p>
      <w:pPr>
        <w:tabs>
          <w:tab w:val="clear" w:pos="426"/>
        </w:tabs>
      </w:pPr>
      <w:r>
        <w:t>31.3</w:t>
      </w:r>
      <w:r>
        <w:rPr>
          <w:rFonts w:hint="eastAsia"/>
        </w:rPr>
        <w:t>评标委员会应当认真研究招标文件，至少应了解熟悉以下内容：</w:t>
      </w:r>
    </w:p>
    <w:p>
      <w:pPr>
        <w:tabs>
          <w:tab w:val="clear" w:pos="426"/>
        </w:tabs>
      </w:pPr>
      <w:r>
        <w:rPr>
          <w:rFonts w:hint="eastAsia"/>
        </w:rPr>
        <w:t>（</w:t>
      </w:r>
      <w:r>
        <w:t>1</w:t>
      </w:r>
      <w:r>
        <w:rPr>
          <w:rFonts w:hint="eastAsia"/>
        </w:rPr>
        <w:t>）招标的目的；</w:t>
      </w:r>
    </w:p>
    <w:p>
      <w:pPr>
        <w:tabs>
          <w:tab w:val="clear" w:pos="426"/>
        </w:tabs>
      </w:pPr>
      <w:r>
        <w:rPr>
          <w:rFonts w:hint="eastAsia"/>
        </w:rPr>
        <w:t>（</w:t>
      </w:r>
      <w:r>
        <w:t>2</w:t>
      </w:r>
      <w:r>
        <w:rPr>
          <w:rFonts w:hint="eastAsia"/>
        </w:rPr>
        <w:t>）招标项目需求的范围和性质；</w:t>
      </w:r>
    </w:p>
    <w:p>
      <w:pPr>
        <w:tabs>
          <w:tab w:val="clear" w:pos="426"/>
        </w:tabs>
      </w:pPr>
      <w:r>
        <w:rPr>
          <w:rFonts w:hint="eastAsia"/>
        </w:rPr>
        <w:t>（</w:t>
      </w:r>
      <w:r>
        <w:t>3</w:t>
      </w:r>
      <w:r>
        <w:rPr>
          <w:rFonts w:hint="eastAsia"/>
        </w:rPr>
        <w:t>）招标文件规定的投标供应商的资格、财政预算限额、商务条款；</w:t>
      </w:r>
    </w:p>
    <w:p>
      <w:pPr>
        <w:tabs>
          <w:tab w:val="clear" w:pos="426"/>
        </w:tabs>
      </w:pPr>
      <w:r>
        <w:rPr>
          <w:rFonts w:hint="eastAsia"/>
        </w:rPr>
        <w:t>（</w:t>
      </w:r>
      <w:r>
        <w:t>4</w:t>
      </w:r>
      <w:r>
        <w:rPr>
          <w:rFonts w:hint="eastAsia"/>
        </w:rPr>
        <w:t>）招标文件规定的评标程序、评标方法和评标因素；</w:t>
      </w:r>
    </w:p>
    <w:p>
      <w:pPr>
        <w:tabs>
          <w:tab w:val="clear" w:pos="426"/>
        </w:tabs>
      </w:pPr>
      <w:r>
        <w:rPr>
          <w:rFonts w:hint="eastAsia"/>
        </w:rPr>
        <w:t>（</w:t>
      </w:r>
      <w:r>
        <w:t>5</w:t>
      </w:r>
      <w:r>
        <w:rPr>
          <w:rFonts w:hint="eastAsia"/>
        </w:rPr>
        <w:t>）招标文件所列示的投标文件“资格、符合性评审条款”。</w:t>
      </w:r>
    </w:p>
    <w:p>
      <w:pPr>
        <w:tabs>
          <w:tab w:val="clear" w:pos="426"/>
        </w:tabs>
      </w:pPr>
      <w:r>
        <w:t>32</w:t>
      </w:r>
      <w:r>
        <w:rPr>
          <w:rFonts w:hint="eastAsia"/>
        </w:rPr>
        <w:t>．独立评标</w:t>
      </w:r>
    </w:p>
    <w:p>
      <w:pPr>
        <w:tabs>
          <w:tab w:val="clear" w:pos="426"/>
        </w:tabs>
        <w:rPr>
          <w:szCs w:val="21"/>
        </w:rPr>
      </w:pPr>
      <w:r>
        <w:t>32.1</w:t>
      </w:r>
      <w:r>
        <w:rPr>
          <w:rFonts w:hint="eastAsia"/>
        </w:rPr>
        <w:t>评标委员会成员的评标活动应当独立进行，并应遵循投标文件初审、澄清有关问题、比较与评价、确定中标候选供应商、编写评标报告的工作程序。</w:t>
      </w:r>
    </w:p>
    <w:p>
      <w:pPr>
        <w:pStyle w:val="4"/>
      </w:pPr>
      <w:bookmarkStart w:id="163" w:name="_Toc529280586"/>
      <w:bookmarkStart w:id="164" w:name="_Toc120892187"/>
      <w:bookmarkStart w:id="165" w:name="_Toc14427259"/>
      <w:bookmarkStart w:id="166" w:name="_Toc530152527"/>
      <w:r>
        <w:rPr>
          <w:rFonts w:hint="eastAsia"/>
        </w:rPr>
        <w:t>第六章</w:t>
      </w:r>
      <w:r>
        <w:t xml:space="preserve"> </w:t>
      </w:r>
      <w:r>
        <w:rPr>
          <w:rFonts w:hint="eastAsia"/>
        </w:rPr>
        <w:t>评标程序及评标方法</w:t>
      </w:r>
      <w:bookmarkEnd w:id="163"/>
      <w:bookmarkEnd w:id="164"/>
      <w:bookmarkEnd w:id="165"/>
      <w:bookmarkEnd w:id="166"/>
    </w:p>
    <w:p>
      <w:pPr>
        <w:tabs>
          <w:tab w:val="clear" w:pos="426"/>
        </w:tabs>
      </w:pPr>
      <w:r>
        <w:t>33</w:t>
      </w:r>
      <w:r>
        <w:rPr>
          <w:rFonts w:hint="eastAsia"/>
        </w:rPr>
        <w:t>．投标文件初审</w:t>
      </w:r>
    </w:p>
    <w:p>
      <w:pPr>
        <w:widowControl w:val="0"/>
        <w:shd w:val="clear" w:color="auto" w:fill="auto"/>
        <w:tabs>
          <w:tab w:val="clear" w:pos="426"/>
        </w:tabs>
        <w:autoSpaceDE w:val="0"/>
        <w:autoSpaceDN w:val="0"/>
        <w:rPr>
          <w:rFonts w:cs="黑体"/>
          <w:b/>
          <w:bCs/>
          <w:szCs w:val="21"/>
        </w:rPr>
      </w:pPr>
      <w: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b/>
        </w:rPr>
      </w:pPr>
      <w:r>
        <w:t xml:space="preserve">33.2 </w:t>
      </w:r>
      <w:r>
        <w:rPr>
          <w:rFonts w:hint="eastAsia"/>
        </w:rPr>
        <w:t>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pPr>
      <w:r>
        <w:t xml:space="preserve">33.3 </w:t>
      </w:r>
      <w:r>
        <w:rPr>
          <w:rFonts w:hint="eastAsia"/>
        </w:rPr>
        <w:t>投标文件初审中关于供应商家数的计算。</w:t>
      </w:r>
    </w:p>
    <w:p>
      <w:pPr>
        <w:tabs>
          <w:tab w:val="clear" w:pos="426"/>
        </w:tabs>
      </w:pPr>
      <w:r>
        <w:t xml:space="preserve">33.3.1 </w:t>
      </w:r>
      <w:r>
        <w:rPr>
          <w:rFonts w:hint="eastAsia"/>
        </w:rPr>
        <w:t>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pPr>
      <w:r>
        <w:t>33.3.2</w:t>
      </w:r>
      <w:r>
        <w:rPr>
          <w:rFonts w:hint="eastAsia"/>
        </w:rPr>
        <w:t>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pPr>
      <w:r>
        <w:t>33.3.3</w:t>
      </w:r>
      <w:r>
        <w:rPr>
          <w:rFonts w:hint="eastAsia"/>
        </w:rPr>
        <w:t>非单一产品采购项目，采购人应当根据采购项目技术构成、产品价格比重等合理确定核心产品，并在招标文件中载明。多家投标供应商提供的核心产品品牌相同的，按前两款规定处理。</w:t>
      </w:r>
    </w:p>
    <w:p>
      <w:pPr>
        <w:tabs>
          <w:tab w:val="clear" w:pos="426"/>
        </w:tabs>
      </w:pPr>
      <w:r>
        <w:t>33.3.4</w:t>
      </w:r>
      <w:r>
        <w:rPr>
          <w:rFonts w:hint="eastAsia"/>
        </w:rPr>
        <w:t>公开招标以外采购人式以及采购服务和工程涉及采购货物的项目，也按此方法计算供应商家数。</w:t>
      </w:r>
    </w:p>
    <w:p>
      <w:pPr>
        <w:tabs>
          <w:tab w:val="clear" w:pos="426"/>
        </w:tabs>
        <w:rPr>
          <w:b/>
          <w:bCs/>
        </w:rPr>
      </w:pPr>
      <w:r>
        <w:t xml:space="preserve">33.4 </w:t>
      </w:r>
      <w:r>
        <w:rPr>
          <w:rFonts w:hint="eastAsia"/>
        </w:rPr>
        <w:t>对不属于投标文件“</w:t>
      </w:r>
      <w:r>
        <w:rPr>
          <w:rFonts w:hint="eastAsia"/>
          <w:b/>
        </w:rPr>
        <w:t>资格、符合性评审条款</w:t>
      </w:r>
      <w:r>
        <w:rPr>
          <w:rFonts w:hint="eastAsia"/>
        </w:rPr>
        <w:t>”要所列不符合的情形，除法律法规另有规定外，不得作为废标的理由。</w:t>
      </w:r>
    </w:p>
    <w:p>
      <w:pPr>
        <w:tabs>
          <w:tab w:val="clear" w:pos="426"/>
        </w:tabs>
      </w:pPr>
      <w:r>
        <w:t>34</w:t>
      </w:r>
      <w:r>
        <w:rPr>
          <w:rFonts w:hint="eastAsia"/>
        </w:rPr>
        <w:t>．澄清有关问题</w:t>
      </w:r>
    </w:p>
    <w:p>
      <w:pPr>
        <w:tabs>
          <w:tab w:val="clear" w:pos="426"/>
        </w:tabs>
      </w:pPr>
      <w:r>
        <w:rPr>
          <w:rFonts w:hint="eastAsia"/>
        </w:rPr>
        <w:t>为了有助于投标文件的审查、评价和比较，对投标文件含义不明确、同类问题表述不一致或者有明显文字和计算错误的内容，评标委员会可以用书面形式</w:t>
      </w:r>
      <w:r>
        <w:t>(</w:t>
      </w:r>
      <w:r>
        <w:rPr>
          <w:rFonts w:hint="eastAsia"/>
        </w:rPr>
        <w:t>应当由评标委员会签字</w:t>
      </w:r>
      <w:r>
        <w:t>)</w:t>
      </w:r>
      <w:r>
        <w:rPr>
          <w:rFonts w:hint="eastAsia"/>
        </w:rPr>
        <w:t>要求投标供应商作出必要的澄清、说明或者纠正。投标供应商的澄清、说明或者补正应当用采用书面形式（由其授权的代表签字），并不得超出投标文件的范围或者改变投标文件的实质性的内容。根据本通用条款第</w:t>
      </w:r>
      <w:r>
        <w:t>34</w:t>
      </w:r>
      <w:r>
        <w:rPr>
          <w:rFonts w:hint="eastAsia"/>
        </w:rPr>
        <w:t>条，凡属于评标委员会在评标中发现的算术错误进行核实的修改不在此列。</w:t>
      </w:r>
    </w:p>
    <w:p>
      <w:pPr>
        <w:tabs>
          <w:tab w:val="clear" w:pos="426"/>
        </w:tabs>
      </w:pPr>
      <w:r>
        <w:t>35</w:t>
      </w:r>
      <w:r>
        <w:rPr>
          <w:rFonts w:hint="eastAsia"/>
        </w:rPr>
        <w:t>．错误的修正</w:t>
      </w:r>
    </w:p>
    <w:p>
      <w:pPr>
        <w:tabs>
          <w:tab w:val="clear" w:pos="426"/>
        </w:tabs>
      </w:pPr>
      <w:r>
        <w:t xml:space="preserve">35.1 </w:t>
      </w:r>
      <w:r>
        <w:rPr>
          <w:rFonts w:hint="eastAsia"/>
        </w:rPr>
        <w:t>评标委员会将审查投标文件是否完整、总体编排是否有序、文件签署是否合格、投标供应商是否提交了投标保证金、有无计算上的错误等。</w:t>
      </w:r>
    </w:p>
    <w:p>
      <w:pPr>
        <w:tabs>
          <w:tab w:val="clear" w:pos="426"/>
        </w:tabs>
      </w:pPr>
      <w:r>
        <w:t xml:space="preserve">35.2  </w:t>
      </w:r>
      <w:r>
        <w:rPr>
          <w:rFonts w:hint="eastAsia"/>
        </w:rPr>
        <w:t>算术错误将按以下方法更正（次序排先者优先）：</w:t>
      </w:r>
    </w:p>
    <w:p>
      <w:pPr>
        <w:tabs>
          <w:tab w:val="clear" w:pos="426"/>
        </w:tabs>
      </w:pPr>
      <w:r>
        <w:t>35.2.1</w:t>
      </w:r>
      <w:r>
        <w:rPr>
          <w:rFonts w:hint="eastAsia"/>
        </w:rPr>
        <w:t>投标文件中开标一览表（报价表）内容与投标文件中相应内容不一致的，以开标一览表（报价表）为准；</w:t>
      </w:r>
    </w:p>
    <w:p>
      <w:pPr>
        <w:tabs>
          <w:tab w:val="clear" w:pos="426"/>
        </w:tabs>
      </w:pPr>
      <w:r>
        <w:t>35.2.2</w:t>
      </w:r>
      <w:r>
        <w:rPr>
          <w:rFonts w:hint="eastAsia"/>
        </w:rPr>
        <w:t>大写金额和小写金额不一致的，以大写金额为准；</w:t>
      </w:r>
    </w:p>
    <w:p>
      <w:pPr>
        <w:tabs>
          <w:tab w:val="clear" w:pos="426"/>
        </w:tabs>
      </w:pPr>
      <w:r>
        <w:t>35.2.3</w:t>
      </w:r>
      <w:r>
        <w:rPr>
          <w:rFonts w:hint="eastAsia"/>
        </w:rPr>
        <w:t>单价金额小数点或者百分比有明显错位的，以开标一览表的总价为准，并修改单价；</w:t>
      </w:r>
    </w:p>
    <w:p>
      <w:pPr>
        <w:tabs>
          <w:tab w:val="clear" w:pos="426"/>
        </w:tabs>
      </w:pPr>
      <w:r>
        <w:t>35.2.4</w:t>
      </w:r>
      <w:r>
        <w:rPr>
          <w:rFonts w:hint="eastAsia"/>
        </w:rPr>
        <w:t>总价金额与按单价汇总金额不一致的，以单价金额计算结果为准；</w:t>
      </w:r>
    </w:p>
    <w:p>
      <w:pPr>
        <w:tabs>
          <w:tab w:val="clear" w:pos="426"/>
        </w:tabs>
      </w:pPr>
      <w:r>
        <w:t xml:space="preserve">35.2.5 </w:t>
      </w:r>
      <w:r>
        <w:rPr>
          <w:rFonts w:hint="eastAsia"/>
        </w:rPr>
        <w:t>对不同文字文本投标文件的解释发生异议的，以中文文本为准。</w:t>
      </w:r>
    </w:p>
    <w:p>
      <w:pPr>
        <w:tabs>
          <w:tab w:val="clear" w:pos="426"/>
        </w:tabs>
      </w:pPr>
      <w:r>
        <w:t xml:space="preserve">35.3  </w:t>
      </w:r>
      <w:r>
        <w:rPr>
          <w:rFonts w:hint="eastAsia"/>
        </w:rPr>
        <w:t>对于投标文件中不构成实质性偏差的不正规、不一致或不规则，给评审带来不便，评标委员会可以接受。</w:t>
      </w:r>
    </w:p>
    <w:p>
      <w:pPr>
        <w:tabs>
          <w:tab w:val="clear" w:pos="426"/>
        </w:tabs>
      </w:pPr>
      <w:r>
        <w:t xml:space="preserve">35.4  </w:t>
      </w:r>
      <w:r>
        <w:rPr>
          <w:rFonts w:hint="eastAsia"/>
        </w:rPr>
        <w:t>投标供应商的投标报价是可变动价格的，或包含了价格调整要求的，或投标报价中提供两个（含两个）以上的报价（招标文件规定提交备选投标方案的除外），或严重漏项，评标委员会无法进行判断的，评标委员会可以作无效标处理。</w:t>
      </w:r>
    </w:p>
    <w:p>
      <w:pPr>
        <w:tabs>
          <w:tab w:val="clear" w:pos="426"/>
        </w:tabs>
      </w:pPr>
      <w:r>
        <w:t>35.5</w:t>
      </w:r>
      <w:r>
        <w:rPr>
          <w:rFonts w:hint="eastAsia"/>
        </w:rPr>
        <w:t>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pPr>
      <w:r>
        <w:t>36</w:t>
      </w:r>
      <w:r>
        <w:rPr>
          <w:rFonts w:hint="eastAsia"/>
        </w:rPr>
        <w:t>．投标文件的比较与评价</w:t>
      </w:r>
    </w:p>
    <w:p>
      <w:pPr>
        <w:tabs>
          <w:tab w:val="clear" w:pos="426"/>
        </w:tabs>
      </w:pPr>
      <w:r>
        <w:t>36.1</w:t>
      </w:r>
      <w:r>
        <w:rPr>
          <w:rFonts w:hint="eastAsia"/>
        </w:rPr>
        <w:t>评标委员会将参照相关法律、法规、规定，仅对通过资格性审查和符合性审查的投标文件进行综合比较与评价。</w:t>
      </w:r>
    </w:p>
    <w:p>
      <w:pPr>
        <w:tabs>
          <w:tab w:val="clear" w:pos="426"/>
        </w:tabs>
      </w:pPr>
      <w:r>
        <w:rPr>
          <w:bCs/>
        </w:rPr>
        <w:t xml:space="preserve">36.2  </w:t>
      </w:r>
      <w:r>
        <w:rPr>
          <w:rFonts w:hint="eastAsia"/>
        </w:rPr>
        <w:t>评标委员会应当根据招标文件，审查并逐项列出投标文件的全部投标偏离。投标偏离分为重大偏离和细微偏离。</w:t>
      </w:r>
    </w:p>
    <w:p>
      <w:pPr>
        <w:tabs>
          <w:tab w:val="clear" w:pos="426"/>
        </w:tabs>
      </w:pPr>
      <w:r>
        <w:t xml:space="preserve">36.3 </w:t>
      </w:r>
      <w:r>
        <w:rPr>
          <w:rFonts w:hint="eastAsia"/>
        </w:rPr>
        <w:t>评标委员会应当对投标供应商的投标文件进行分析和比较。</w:t>
      </w:r>
    </w:p>
    <w:p>
      <w:pPr>
        <w:tabs>
          <w:tab w:val="clear" w:pos="426"/>
        </w:tabs>
      </w:pPr>
      <w:r>
        <w:t xml:space="preserve">36.4  </w:t>
      </w:r>
      <w:r>
        <w:rPr>
          <w:rFonts w:hint="eastAsia"/>
        </w:rPr>
        <w:t>评标委员会应当根据招标文件规定，对投标文件中的每项评审内容进行评审。</w:t>
      </w:r>
    </w:p>
    <w:p>
      <w:pPr>
        <w:tabs>
          <w:tab w:val="clear" w:pos="426"/>
        </w:tabs>
        <w:rPr>
          <w:kern w:val="10"/>
        </w:rPr>
      </w:pPr>
      <w:r>
        <w:rPr>
          <w:kern w:val="10"/>
        </w:rPr>
        <w:t xml:space="preserve">36.5  </w:t>
      </w:r>
      <w:r>
        <w:rPr>
          <w:rFonts w:hint="eastAsia"/>
          <w:kern w:val="10"/>
        </w:rPr>
        <w:t>投标文件存在重大偏离的，应作废标处理。下列情况属于重大偏离：</w:t>
      </w:r>
    </w:p>
    <w:p>
      <w:pPr>
        <w:tabs>
          <w:tab w:val="clear" w:pos="426"/>
        </w:tabs>
        <w:rPr>
          <w:kern w:val="10"/>
        </w:rPr>
      </w:pPr>
      <w:r>
        <w:rPr>
          <w:kern w:val="10"/>
        </w:rPr>
        <w:t xml:space="preserve">36.5.1  </w:t>
      </w:r>
      <w:r>
        <w:rPr>
          <w:rFonts w:hint="eastAsia"/>
          <w:kern w:val="10"/>
        </w:rPr>
        <w:t>投标供应商以他人的名义投标或出现下列串通投标、弄虚作假投标嫌疑的：</w:t>
      </w:r>
    </w:p>
    <w:p>
      <w:pPr>
        <w:tabs>
          <w:tab w:val="clear" w:pos="426"/>
        </w:tabs>
        <w:rPr>
          <w:kern w:val="10"/>
        </w:rPr>
      </w:pPr>
      <w:r>
        <w:rPr>
          <w:kern w:val="10"/>
        </w:rPr>
        <w:t xml:space="preserve">36.5.1.1  </w:t>
      </w:r>
      <w:r>
        <w:rPr>
          <w:rFonts w:hint="eastAsia"/>
          <w:kern w:val="10"/>
        </w:rPr>
        <w:t>不同投标供应商的投标文件内容存在非正常一致的；</w:t>
      </w:r>
    </w:p>
    <w:p>
      <w:pPr>
        <w:tabs>
          <w:tab w:val="clear" w:pos="426"/>
        </w:tabs>
        <w:rPr>
          <w:kern w:val="10"/>
        </w:rPr>
      </w:pPr>
      <w:r>
        <w:rPr>
          <w:kern w:val="10"/>
        </w:rPr>
        <w:t xml:space="preserve">36.5.1.2  </w:t>
      </w:r>
      <w:r>
        <w:rPr>
          <w:rFonts w:hint="eastAsia"/>
          <w:kern w:val="10"/>
        </w:rPr>
        <w:t>不同投标供应商的投标文件错漏之处一致的；</w:t>
      </w:r>
    </w:p>
    <w:p>
      <w:pPr>
        <w:tabs>
          <w:tab w:val="clear" w:pos="426"/>
        </w:tabs>
        <w:rPr>
          <w:kern w:val="10"/>
        </w:rPr>
      </w:pPr>
      <w:r>
        <w:rPr>
          <w:kern w:val="10"/>
        </w:rPr>
        <w:t xml:space="preserve">36.5.1.3  </w:t>
      </w:r>
      <w:r>
        <w:rPr>
          <w:rFonts w:hint="eastAsia"/>
          <w:kern w:val="10"/>
        </w:rPr>
        <w:t>不同投标供应商的投标报价或者报价组成异常一致或者呈规律性变化的；</w:t>
      </w:r>
    </w:p>
    <w:p>
      <w:pPr>
        <w:tabs>
          <w:tab w:val="clear" w:pos="426"/>
        </w:tabs>
        <w:rPr>
          <w:kern w:val="10"/>
        </w:rPr>
      </w:pPr>
      <w:r>
        <w:rPr>
          <w:kern w:val="10"/>
        </w:rPr>
        <w:t xml:space="preserve">36.5.1.4  </w:t>
      </w:r>
      <w:r>
        <w:rPr>
          <w:rFonts w:hint="eastAsia"/>
          <w:kern w:val="10"/>
        </w:rPr>
        <w:t>不同投标供应商的投标文件由同一单位或者同一个人编制的；</w:t>
      </w:r>
    </w:p>
    <w:p>
      <w:pPr>
        <w:tabs>
          <w:tab w:val="clear" w:pos="426"/>
        </w:tabs>
        <w:rPr>
          <w:kern w:val="10"/>
        </w:rPr>
      </w:pPr>
      <w:r>
        <w:rPr>
          <w:kern w:val="10"/>
        </w:rPr>
        <w:t xml:space="preserve">36.5.1.5  </w:t>
      </w:r>
      <w:r>
        <w:rPr>
          <w:rFonts w:hint="eastAsia"/>
          <w:kern w:val="10"/>
        </w:rPr>
        <w:t>不同投标供应商的投标文件载明的项目负责人与主要技术人员出现同一人的；</w:t>
      </w:r>
    </w:p>
    <w:p>
      <w:pPr>
        <w:tabs>
          <w:tab w:val="clear" w:pos="426"/>
        </w:tabs>
        <w:rPr>
          <w:kern w:val="10"/>
        </w:rPr>
      </w:pPr>
      <w:r>
        <w:rPr>
          <w:kern w:val="10"/>
        </w:rPr>
        <w:t xml:space="preserve">36.5.1.6  </w:t>
      </w:r>
      <w:r>
        <w:rPr>
          <w:rFonts w:hint="eastAsia"/>
          <w:kern w:val="10"/>
        </w:rPr>
        <w:t>不同投标供应商的投标文件相互混装的；</w:t>
      </w:r>
    </w:p>
    <w:p>
      <w:pPr>
        <w:tabs>
          <w:tab w:val="clear" w:pos="426"/>
        </w:tabs>
        <w:rPr>
          <w:kern w:val="10"/>
        </w:rPr>
      </w:pPr>
      <w:r>
        <w:rPr>
          <w:kern w:val="10"/>
        </w:rPr>
        <w:t xml:space="preserve">36.5.1.7  </w:t>
      </w:r>
      <w:r>
        <w:rPr>
          <w:rFonts w:hint="eastAsia"/>
          <w:kern w:val="10"/>
        </w:rPr>
        <w:t>不同投标供应商委托同一人投标的；</w:t>
      </w:r>
    </w:p>
    <w:p>
      <w:pPr>
        <w:tabs>
          <w:tab w:val="clear" w:pos="426"/>
        </w:tabs>
        <w:rPr>
          <w:kern w:val="10"/>
        </w:rPr>
      </w:pPr>
      <w:r>
        <w:rPr>
          <w:kern w:val="10"/>
        </w:rPr>
        <w:t xml:space="preserve">36.5.1.8  </w:t>
      </w:r>
      <w:r>
        <w:rPr>
          <w:rFonts w:hint="eastAsia"/>
          <w:kern w:val="10"/>
        </w:rPr>
        <w:t>不同投标供应商聘请同一人为其投标提供技术或者经济咨询服务的，但招标工程本身要求采用专有技术的除外；</w:t>
      </w:r>
    </w:p>
    <w:p>
      <w:pPr>
        <w:tabs>
          <w:tab w:val="clear" w:pos="426"/>
        </w:tabs>
        <w:rPr>
          <w:kern w:val="10"/>
        </w:rPr>
      </w:pPr>
      <w:r>
        <w:rPr>
          <w:kern w:val="10"/>
        </w:rPr>
        <w:t xml:space="preserve">36.5.1.9  </w:t>
      </w:r>
      <w:r>
        <w:rPr>
          <w:rFonts w:hint="eastAsia"/>
          <w:kern w:val="10"/>
        </w:rPr>
        <w:t>评标委员会认定的其他串通投标情形。</w:t>
      </w:r>
    </w:p>
    <w:p>
      <w:pPr>
        <w:tabs>
          <w:tab w:val="clear" w:pos="426"/>
        </w:tabs>
      </w:pPr>
      <w:r>
        <w:rPr>
          <w:kern w:val="10"/>
        </w:rPr>
        <w:t xml:space="preserve">36.5.2 </w:t>
      </w:r>
      <w:r>
        <w:t xml:space="preserve"> </w:t>
      </w:r>
      <w:r>
        <w:rPr>
          <w:rFonts w:hint="eastAsia"/>
        </w:rPr>
        <w:t>投标文件不满足招标文件规定的任何一项实质性要求的；</w:t>
      </w:r>
    </w:p>
    <w:p>
      <w:pPr>
        <w:tabs>
          <w:tab w:val="clear" w:pos="426"/>
        </w:tabs>
      </w:pPr>
      <w:r>
        <w:rPr>
          <w:bCs/>
          <w:kern w:val="10"/>
        </w:rPr>
        <w:t xml:space="preserve">36.5.3 </w:t>
      </w:r>
      <w:r>
        <w:t xml:space="preserve"> </w:t>
      </w:r>
      <w:r>
        <w:rPr>
          <w:rFonts w:hint="eastAsia"/>
        </w:rPr>
        <w:t>投标文件对招标文件规定的非实质性要求的偏离，超出允许偏离的最大范围或最高项数的；</w:t>
      </w:r>
    </w:p>
    <w:p>
      <w:pPr>
        <w:tabs>
          <w:tab w:val="clear" w:pos="426"/>
        </w:tabs>
      </w:pPr>
      <w:r>
        <w:rPr>
          <w:kern w:val="10"/>
        </w:rPr>
        <w:t xml:space="preserve">36.5.4 </w:t>
      </w:r>
      <w:r>
        <w:t xml:space="preserve"> </w:t>
      </w:r>
      <w:r>
        <w:rPr>
          <w:rFonts w:hint="eastAsia"/>
        </w:rPr>
        <w:t>评标委员会根据招标文件的规定对投标文件的投标价格进行调整，投标供应商不接受调整方式的，或不接受调整后的价格的；</w:t>
      </w:r>
    </w:p>
    <w:p>
      <w:pPr>
        <w:tabs>
          <w:tab w:val="clear" w:pos="426"/>
        </w:tabs>
        <w:rPr>
          <w:kern w:val="10"/>
        </w:rPr>
      </w:pPr>
      <w:r>
        <w:rPr>
          <w:kern w:val="10"/>
        </w:rPr>
        <w:t xml:space="preserve">36.6  </w:t>
      </w:r>
      <w:r>
        <w:rPr>
          <w:rFonts w:hint="eastAsia"/>
          <w:kern w:val="10"/>
        </w:rPr>
        <w:t>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kern w:val="10"/>
        </w:rPr>
      </w:pPr>
      <w:r>
        <w:rPr>
          <w:kern w:val="10"/>
        </w:rPr>
        <w:t xml:space="preserve">36.7 </w:t>
      </w:r>
      <w:r>
        <w:rPr>
          <w:rFonts w:hint="eastAsia"/>
          <w:kern w:val="10"/>
        </w:rPr>
        <w:t>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pPr>
      <w:r>
        <w:t>37.</w:t>
      </w:r>
      <w:r>
        <w:rPr>
          <w:rFonts w:hint="eastAsia"/>
        </w:rPr>
        <w:t>实地考察、演示或设备测试</w:t>
      </w:r>
    </w:p>
    <w:p>
      <w:pPr>
        <w:tabs>
          <w:tab w:val="clear" w:pos="426"/>
        </w:tabs>
      </w:pPr>
      <w:r>
        <w:t>37.1</w:t>
      </w:r>
      <w:r>
        <w:rPr>
          <w:rFonts w:hint="eastAsia"/>
        </w:rPr>
        <w:t>在招标过程中，评标委员会有权决定是否对本项目投标供应商进行现场勘察或实地考察或检验有关证明材料的原件。投标供应商应随时做好接受检查的准备。</w:t>
      </w:r>
    </w:p>
    <w:p>
      <w:pPr>
        <w:tabs>
          <w:tab w:val="clear" w:pos="426"/>
        </w:tabs>
      </w:pPr>
      <w:r>
        <w:t>37.2</w:t>
      </w:r>
      <w:r>
        <w:rPr>
          <w:rFonts w:hint="eastAsia"/>
        </w:rPr>
        <w:t>若招标文件要求进行现场演示或设备测试的，投标供应商应做好相应准备。</w:t>
      </w:r>
    </w:p>
    <w:p>
      <w:pPr>
        <w:tabs>
          <w:tab w:val="clear" w:pos="426"/>
        </w:tabs>
      </w:pPr>
      <w:r>
        <w:t>38</w:t>
      </w:r>
      <w:r>
        <w:rPr>
          <w:rFonts w:hint="eastAsia"/>
        </w:rPr>
        <w:t>．评标方法</w:t>
      </w:r>
    </w:p>
    <w:p>
      <w:pPr>
        <w:tabs>
          <w:tab w:val="clear" w:pos="426"/>
        </w:tabs>
        <w:rPr>
          <w:szCs w:val="21"/>
        </w:rPr>
      </w:pPr>
      <w:r>
        <w:rPr>
          <w:szCs w:val="21"/>
        </w:rPr>
        <w:t>38.1</w:t>
      </w:r>
      <w:r>
        <w:rPr>
          <w:rFonts w:hint="eastAsia"/>
        </w:rPr>
        <w:t>根据有关要求，</w:t>
      </w:r>
      <w:r>
        <w:rPr>
          <w:rFonts w:hint="eastAsia"/>
          <w:szCs w:val="21"/>
        </w:rPr>
        <w:t>项目评标方法根据是否是评定分离项目进行选择。</w:t>
      </w:r>
    </w:p>
    <w:p>
      <w:pPr>
        <w:tabs>
          <w:tab w:val="clear" w:pos="426"/>
        </w:tabs>
      </w:pPr>
      <w:r>
        <w:t>38.2</w:t>
      </w:r>
      <w:r>
        <w:rPr>
          <w:rFonts w:hint="eastAsia"/>
        </w:rPr>
        <w:t>非评定分离项目</w:t>
      </w:r>
    </w:p>
    <w:p>
      <w:pPr>
        <w:tabs>
          <w:tab w:val="clear" w:pos="426"/>
        </w:tabs>
      </w:pPr>
      <w:r>
        <w:rPr>
          <w:rFonts w:hint="eastAsia"/>
        </w:rPr>
        <w:t>非评定分离项目评分方法为最低评标价法、综合评标法、性价比法及法律、法规允许的其它评标办法。</w:t>
      </w:r>
    </w:p>
    <w:p>
      <w:pPr>
        <w:tabs>
          <w:tab w:val="clear" w:pos="426"/>
        </w:tabs>
        <w:rPr>
          <w:b/>
        </w:rPr>
      </w:pPr>
      <w:r>
        <w:t>38.2.1</w:t>
      </w:r>
      <w:r>
        <w:rPr>
          <w:rFonts w:hint="eastAsia"/>
        </w:rPr>
        <w:t>最低评标价法</w:t>
      </w:r>
    </w:p>
    <w:p>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b/>
        </w:rPr>
      </w:pPr>
      <w:r>
        <w:t>38.2.2</w:t>
      </w:r>
      <w:r>
        <w:rPr>
          <w:rFonts w:hint="eastAsia"/>
        </w:rPr>
        <w:t>综合评分法</w:t>
      </w:r>
    </w:p>
    <w:p>
      <w:pPr>
        <w:tabs>
          <w:tab w:val="clear" w:pos="426"/>
        </w:tabs>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b/>
          <w:bCs/>
        </w:rPr>
      </w:pPr>
      <w:r>
        <w:t>38.2.3</w:t>
      </w:r>
      <w:r>
        <w:rPr>
          <w:rFonts w:hint="eastAsia"/>
          <w:bCs/>
        </w:rPr>
        <w:t>性价比法</w:t>
      </w:r>
    </w:p>
    <w:p>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pPr>
      <w:r>
        <w:t>38.3</w:t>
      </w:r>
      <w:r>
        <w:rPr>
          <w:rFonts w:hint="eastAsia"/>
        </w:rPr>
        <w:t>评定分离项目</w:t>
      </w:r>
    </w:p>
    <w:p>
      <w:pPr>
        <w:tabs>
          <w:tab w:val="clear" w:pos="426"/>
        </w:tabs>
      </w:pPr>
      <w:r>
        <w:rPr>
          <w:rFonts w:hint="eastAsia"/>
        </w:rPr>
        <w:t>评定分离项目，评审委员会应当按照综合评分法、定性评审法、最低价法或者法律、法规及规章规定的其他评审方法对投标文件进行评审。</w:t>
      </w:r>
    </w:p>
    <w:p>
      <w:pPr>
        <w:tabs>
          <w:tab w:val="clear" w:pos="426"/>
        </w:tabs>
        <w:rPr>
          <w:b/>
        </w:rPr>
      </w:pPr>
      <w:r>
        <w:t>38.3.1</w:t>
      </w:r>
      <w:r>
        <w:rPr>
          <w:rFonts w:hint="eastAsia"/>
        </w:rPr>
        <w:t>综合评分法</w:t>
      </w:r>
    </w:p>
    <w:p>
      <w:pPr>
        <w:tabs>
          <w:tab w:val="clear" w:pos="426"/>
        </w:tabs>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sz w:val="18"/>
          <w:szCs w:val="18"/>
          <w:shd w:val="clear" w:color="auto" w:fill="FFFFFF"/>
        </w:rPr>
      </w:pPr>
      <w:r>
        <w:t>38.3.2</w:t>
      </w:r>
      <w:r>
        <w:rPr>
          <w:rFonts w:hint="eastAsia"/>
          <w:bCs/>
        </w:rPr>
        <w:t>定性评审法</w:t>
      </w:r>
    </w:p>
    <w:p>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pPr>
      <w:r>
        <w:t>38.3.3</w:t>
      </w:r>
      <w:r>
        <w:rPr>
          <w:rFonts w:hint="eastAsia"/>
        </w:rPr>
        <w:t>最低价法</w:t>
      </w:r>
    </w:p>
    <w:p>
      <w:pPr>
        <w:tabs>
          <w:tab w:val="clear" w:pos="426"/>
        </w:tabs>
      </w:pPr>
      <w:r>
        <w:rPr>
          <w:rFonts w:hint="eastAsia"/>
        </w:rPr>
        <w:t>最低价法是指以价格为主要因素确定候选中标供应商的评审方法。</w:t>
      </w:r>
    </w:p>
    <w:p>
      <w:pPr>
        <w:tabs>
          <w:tab w:val="clear" w:pos="426"/>
        </w:tabs>
      </w:pPr>
      <w:r>
        <w:t>38.4</w:t>
      </w:r>
      <w:r>
        <w:rPr>
          <w:rFonts w:hint="eastAsia"/>
        </w:rPr>
        <w:t>本项目采用的评标方法见本项目招标文件专用条款的相关内容。</w:t>
      </w:r>
    </w:p>
    <w:p>
      <w:pPr>
        <w:pStyle w:val="4"/>
      </w:pPr>
      <w:bookmarkStart w:id="167" w:name="_Toc530152528"/>
      <w:bookmarkStart w:id="168" w:name="_Toc14427260"/>
      <w:bookmarkStart w:id="169" w:name="_Toc529280587"/>
      <w:bookmarkStart w:id="170" w:name="_Toc120892188"/>
      <w:r>
        <w:rPr>
          <w:rFonts w:hint="eastAsia"/>
        </w:rPr>
        <w:t>第七章</w:t>
      </w:r>
      <w:r>
        <w:t xml:space="preserve"> </w:t>
      </w:r>
      <w:r>
        <w:rPr>
          <w:rFonts w:hint="eastAsia"/>
        </w:rPr>
        <w:t>定标及公示</w:t>
      </w:r>
      <w:bookmarkEnd w:id="167"/>
      <w:bookmarkEnd w:id="168"/>
      <w:bookmarkEnd w:id="169"/>
      <w:bookmarkEnd w:id="170"/>
    </w:p>
    <w:p>
      <w:pPr>
        <w:tabs>
          <w:tab w:val="clear" w:pos="426"/>
        </w:tabs>
      </w:pPr>
      <w:r>
        <w:t>39</w:t>
      </w:r>
      <w:r>
        <w:rPr>
          <w:rFonts w:hint="eastAsia"/>
        </w:rPr>
        <w:t>．定标方法</w:t>
      </w:r>
    </w:p>
    <w:p>
      <w:pPr>
        <w:tabs>
          <w:tab w:val="clear" w:pos="426"/>
        </w:tabs>
      </w:pPr>
      <w:r>
        <w:t>39.1</w:t>
      </w:r>
      <w:r>
        <w:rPr>
          <w:rFonts w:hint="eastAsia"/>
        </w:rPr>
        <w:t>项目定标方法根据是否是评定分离项目进行选择。</w:t>
      </w:r>
    </w:p>
    <w:p>
      <w:pPr>
        <w:tabs>
          <w:tab w:val="clear" w:pos="426"/>
        </w:tabs>
      </w:pPr>
      <w:r>
        <w:t>39.2</w:t>
      </w:r>
      <w:r>
        <w:rPr>
          <w:rFonts w:hint="eastAsia"/>
        </w:rPr>
        <w:t>非评定分离项目</w:t>
      </w:r>
    </w:p>
    <w:p>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pPr>
      <w:r>
        <w:t>39.2.1</w:t>
      </w:r>
      <w:r>
        <w:rPr>
          <w:rFonts w:hint="eastAsia"/>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pPr>
      <w:r>
        <w:t>39.2.2</w:t>
      </w:r>
      <w:r>
        <w:rPr>
          <w:rFonts w:hint="eastAsia"/>
        </w:rPr>
        <w:t>采用综合评分法的，按评审后得分由高到低顺序排列。得分相同的，按投标报价由低到高顺序排列。得分且投标报价相同的，按技术指标优劣顺序排列。</w:t>
      </w:r>
    </w:p>
    <w:p>
      <w:pPr>
        <w:tabs>
          <w:tab w:val="clear" w:pos="426"/>
        </w:tabs>
      </w:pPr>
      <w:r>
        <w:t>39.2.3</w:t>
      </w:r>
      <w:r>
        <w:rPr>
          <w:rFonts w:hint="eastAsia"/>
        </w:rPr>
        <w:t>采用性价比法的，按商数得分由高到低顺序排列。商数得分相同的，按投标报价由低到高顺序排列。商数得分且投标报价相同的，按技术指标优劣顺序排列。</w:t>
      </w:r>
    </w:p>
    <w:p>
      <w:pPr>
        <w:tabs>
          <w:tab w:val="clear" w:pos="426"/>
        </w:tabs>
      </w:pPr>
      <w:r>
        <w:t>39.3</w:t>
      </w:r>
      <w:r>
        <w:rPr>
          <w:rFonts w:hint="eastAsia"/>
        </w:rPr>
        <w:t>评定分离项目</w:t>
      </w:r>
    </w:p>
    <w:p>
      <w:pPr>
        <w:tabs>
          <w:tab w:val="clear" w:pos="426"/>
        </w:tabs>
      </w:pPr>
      <w:r>
        <w:rPr>
          <w:rFonts w:hint="eastAsia"/>
        </w:rPr>
        <w:t>适用评定分离的采购项目，采购人应当根据不同的项目选用自定法、抽签法、竞价法或者法律、法规及规章规定的其他定标方法确定中标供应商。</w:t>
      </w:r>
    </w:p>
    <w:p>
      <w:pPr>
        <w:tabs>
          <w:tab w:val="clear" w:pos="426"/>
        </w:tabs>
      </w:pPr>
      <w:r>
        <w:t>39.3.1</w:t>
      </w:r>
      <w:r>
        <w:rPr>
          <w:rFonts w:hint="eastAsia"/>
        </w:rPr>
        <w:t>自定法是指采购人组织定标委员会，由定标委员会在候选中标供应商中确定中标供应商。</w:t>
      </w:r>
    </w:p>
    <w:p>
      <w:pPr>
        <w:tabs>
          <w:tab w:val="clear" w:pos="426"/>
        </w:tabs>
      </w:pPr>
      <w:r>
        <w:t>39.3.2</w:t>
      </w:r>
      <w:r>
        <w:rPr>
          <w:rFonts w:hint="eastAsia"/>
        </w:rPr>
        <w:t> 抽签法是指候选中标供应商产生后，由采购人委托招标机构按照随机抽签的方式在候选中标供应商中确定中标供应商。 </w:t>
      </w:r>
    </w:p>
    <w:p>
      <w:pPr>
        <w:tabs>
          <w:tab w:val="clear" w:pos="426"/>
        </w:tabs>
      </w:pPr>
      <w:r>
        <w:t>39.3.3</w:t>
      </w:r>
      <w:r>
        <w:rPr>
          <w:rFonts w:hint="eastAsia"/>
        </w:rPr>
        <w:t>竞价法是指候选中标供应商产生后，由采购人委托招标机构组织候选中标供应商进行二次竞价，最终报价最低的为中标供应商</w:t>
      </w:r>
    </w:p>
    <w:p>
      <w:pPr>
        <w:tabs>
          <w:tab w:val="clear" w:pos="426"/>
        </w:tabs>
      </w:pPr>
      <w:r>
        <w:t>39.4</w:t>
      </w:r>
      <w:r>
        <w:rPr>
          <w:rFonts w:hint="eastAsia"/>
        </w:rPr>
        <w:t>本项目采用的定标方法见本项目招标文件专用条款的相关内容。</w:t>
      </w:r>
    </w:p>
    <w:p>
      <w:pPr>
        <w:tabs>
          <w:tab w:val="clear" w:pos="426"/>
        </w:tabs>
      </w:pPr>
      <w:r>
        <w:t>40</w:t>
      </w:r>
      <w:r>
        <w:rPr>
          <w:rFonts w:hint="eastAsia"/>
        </w:rPr>
        <w:t>．编写评标报告</w:t>
      </w:r>
    </w:p>
    <w:p>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pPr>
      <w:r>
        <w:t>41</w:t>
      </w:r>
      <w:r>
        <w:rPr>
          <w:rFonts w:hint="eastAsia"/>
        </w:rPr>
        <w:t>．中标公告</w:t>
      </w:r>
    </w:p>
    <w:p>
      <w:pPr>
        <w:tabs>
          <w:tab w:val="clear" w:pos="426"/>
        </w:tabs>
        <w:rPr>
          <w:b/>
          <w:bCs/>
        </w:rPr>
      </w:pPr>
      <w:r>
        <w:rPr>
          <w:b/>
          <w:bCs/>
        </w:rPr>
        <w:t>41.1</w:t>
      </w:r>
      <w:r>
        <w:rPr>
          <w:rFonts w:hint="eastAsia"/>
          <w:b/>
          <w:bCs/>
        </w:rPr>
        <w:t>为体现“公开、公平、公正”的原则，评标结束后，将在中国政府采购网（</w:t>
      </w:r>
      <w:r>
        <w:rPr>
          <w:b/>
          <w:bCs/>
        </w:rPr>
        <w:t>http://www.ccgp.gov.cn</w:t>
      </w:r>
      <w:r>
        <w:rPr>
          <w:rFonts w:hint="eastAsia"/>
          <w:b/>
          <w:bCs/>
        </w:rPr>
        <w:t>）、采购代理机构官网：（</w:t>
      </w:r>
      <w:r>
        <w:rPr>
          <w:b/>
          <w:bCs/>
        </w:rPr>
        <w:t>http://www.szsszx.com/</w:t>
      </w:r>
      <w:r>
        <w:rPr>
          <w:rFonts w:hint="eastAsia"/>
          <w:b/>
          <w:bCs/>
        </w:rPr>
        <w:t>）上发布中标结果公告，公示期为</w:t>
      </w:r>
      <w:r>
        <w:rPr>
          <w:b/>
          <w:bCs/>
        </w:rPr>
        <w:t>1</w:t>
      </w:r>
      <w:r>
        <w:rPr>
          <w:rFonts w:hint="eastAsia"/>
          <w:b/>
          <w:bCs/>
        </w:rPr>
        <w:t>个工作日。供应商如对评标结果有异议，请于公示期内，以书面的形式向我公司反映。若在公示期内未提出异议，则视为认同该评标结果。</w:t>
      </w:r>
    </w:p>
    <w:p>
      <w:pPr>
        <w:tabs>
          <w:tab w:val="clear" w:pos="426"/>
        </w:tabs>
      </w:pPr>
      <w:r>
        <w:t>41.2</w:t>
      </w:r>
      <w:r>
        <w:rPr>
          <w:rFonts w:hint="eastAsia"/>
        </w:rPr>
        <w:t>质疑投诉人应保证质疑投诉内容的真实性和可靠性，并承担相应的法律责任。</w:t>
      </w:r>
    </w:p>
    <w:p>
      <w:pPr>
        <w:tabs>
          <w:tab w:val="clear" w:pos="426"/>
        </w:tabs>
      </w:pPr>
      <w:r>
        <w:t>42</w:t>
      </w:r>
      <w:r>
        <w:rPr>
          <w:rFonts w:hint="eastAsia"/>
        </w:rPr>
        <w:t>．中标通知书</w:t>
      </w:r>
    </w:p>
    <w:p>
      <w:pPr>
        <w:tabs>
          <w:tab w:val="clear" w:pos="426"/>
        </w:tabs>
      </w:pPr>
      <w:r>
        <w:t>42.1</w:t>
      </w:r>
      <w:r>
        <w:rPr>
          <w:rFonts w:hint="eastAsia"/>
        </w:rPr>
        <w:t>中标公告公布后</w:t>
      </w:r>
      <w:r>
        <w:t>,</w:t>
      </w:r>
      <w:r>
        <w:rPr>
          <w:rFonts w:hint="eastAsia"/>
        </w:rPr>
        <w:t>公示期内无人投诉</w:t>
      </w:r>
      <w:r>
        <w:t>,</w:t>
      </w:r>
      <w:r>
        <w:rPr>
          <w:rFonts w:hint="eastAsia"/>
        </w:rPr>
        <w:t>请中标供应商凭单位证明及本人身份证到采购代理机构领取《中标通知书》。</w:t>
      </w:r>
    </w:p>
    <w:p>
      <w:pPr>
        <w:tabs>
          <w:tab w:val="clear" w:pos="426"/>
        </w:tabs>
      </w:pPr>
      <w:r>
        <w:t>42.2</w:t>
      </w:r>
      <w:r>
        <w:rPr>
          <w:rFonts w:hint="eastAsia"/>
        </w:rPr>
        <w:t>中标通知书是合同的重要组成部分。</w:t>
      </w:r>
    </w:p>
    <w:p>
      <w:pPr>
        <w:tabs>
          <w:tab w:val="clear" w:pos="426"/>
        </w:tabs>
      </w:pPr>
      <w:r>
        <w:t>42.3</w:t>
      </w:r>
      <w:r>
        <w:rPr>
          <w:rFonts w:hint="eastAsia"/>
        </w:rPr>
        <w:t>因质疑投诉或其它原因导致项目结果变更或采购终止的，我公司有权收回中标通知书或终止采购合同。</w:t>
      </w:r>
    </w:p>
    <w:p>
      <w:pPr>
        <w:pStyle w:val="4"/>
      </w:pPr>
      <w:bookmarkStart w:id="171" w:name="_Toc530152529"/>
      <w:bookmarkStart w:id="172" w:name="_Toc120892189"/>
      <w:bookmarkStart w:id="173" w:name="_Toc529280588"/>
      <w:bookmarkStart w:id="174" w:name="_Toc14427261"/>
      <w:r>
        <w:rPr>
          <w:rFonts w:hint="eastAsia"/>
        </w:rPr>
        <w:t>第八章</w:t>
      </w:r>
      <w:r>
        <w:t xml:space="preserve"> </w:t>
      </w:r>
      <w:r>
        <w:rPr>
          <w:rFonts w:hint="eastAsia"/>
        </w:rPr>
        <w:t>公开招标失败的后续处理</w:t>
      </w:r>
      <w:bookmarkEnd w:id="171"/>
      <w:bookmarkEnd w:id="172"/>
      <w:bookmarkEnd w:id="173"/>
      <w:bookmarkEnd w:id="174"/>
    </w:p>
    <w:p>
      <w:pPr>
        <w:tabs>
          <w:tab w:val="clear" w:pos="426"/>
        </w:tabs>
      </w:pPr>
      <w:r>
        <w:t>43</w:t>
      </w:r>
      <w:r>
        <w:rPr>
          <w:rFonts w:hint="eastAsia"/>
        </w:rPr>
        <w:t>．公开招标失败的处理</w:t>
      </w:r>
    </w:p>
    <w:p>
      <w:pPr>
        <w:tabs>
          <w:tab w:val="clear" w:pos="426"/>
        </w:tabs>
      </w:pPr>
      <w:r>
        <w:rPr>
          <w:szCs w:val="21"/>
        </w:rPr>
        <w:t>43.1</w:t>
      </w:r>
      <w:r>
        <w:rPr>
          <w:rFonts w:hint="eastAsia"/>
          <w:szCs w:val="21"/>
        </w:rPr>
        <w:t>本项目公开招标过程中若由于投标截止后</w:t>
      </w:r>
      <w:r>
        <w:rPr>
          <w:rFonts w:hint="eastAsia"/>
        </w:rPr>
        <w:t>实际递交投标文件的供应商数量不足、经评标委员会评审对招标文件作实质响应的供应商不足等原因造成公开招标失败，可由采购代理机构重新组织采购。</w:t>
      </w:r>
    </w:p>
    <w:p>
      <w:pPr>
        <w:tabs>
          <w:tab w:val="clear" w:pos="426"/>
        </w:tabs>
      </w:pPr>
      <w:r>
        <w:t>43.2</w:t>
      </w:r>
      <w:r>
        <w:rPr>
          <w:rFonts w:hint="eastAsia"/>
        </w:rPr>
        <w:t>对公开招标失败的项目，评标委员会在出具该项目招标失败结论的同时，提出重新采购组织形式的建议，以及进一步完善招标文件的资格、技术、商务要求的修改建议。</w:t>
      </w:r>
    </w:p>
    <w:p>
      <w:pPr>
        <w:tabs>
          <w:tab w:val="clear" w:pos="426"/>
        </w:tabs>
      </w:pPr>
      <w:r>
        <w:t>43.3</w:t>
      </w:r>
      <w:r>
        <w:rPr>
          <w:rFonts w:hint="eastAsia"/>
        </w:rPr>
        <w:t>重新组织采购有以下两种组织形式：</w:t>
      </w:r>
    </w:p>
    <w:p>
      <w:pPr>
        <w:tabs>
          <w:tab w:val="clear" w:pos="426"/>
        </w:tabs>
      </w:pPr>
      <w:r>
        <w:rPr>
          <w:rFonts w:hint="eastAsia"/>
        </w:rPr>
        <w:t>（</w:t>
      </w:r>
      <w:r>
        <w:t>1</w:t>
      </w:r>
      <w:r>
        <w:rPr>
          <w:rFonts w:hint="eastAsia"/>
        </w:rPr>
        <w:t>）由采购代理机构重新组织公开招标；</w:t>
      </w:r>
    </w:p>
    <w:p>
      <w:pPr>
        <w:tabs>
          <w:tab w:val="clear" w:pos="426"/>
        </w:tabs>
      </w:pPr>
      <w:r>
        <w:rPr>
          <w:rFonts w:hint="eastAsia"/>
        </w:rPr>
        <w:t>（</w:t>
      </w:r>
      <w:r>
        <w:t>2</w:t>
      </w:r>
      <w:r>
        <w:rPr>
          <w:rFonts w:hint="eastAsia"/>
        </w:rPr>
        <w:t>）根据实际情况需要向相关监督管理部门提出非公开采购人式申请，经相关监督管理部门批准公开招标失败采购项目可转为竞争性谈判或单一来源谈判方式采购。</w:t>
      </w:r>
    </w:p>
    <w:p>
      <w:pPr>
        <w:tabs>
          <w:tab w:val="clear" w:pos="426"/>
        </w:tabs>
      </w:pPr>
      <w:r>
        <w:t>43.4</w:t>
      </w:r>
      <w:r>
        <w:rPr>
          <w:rFonts w:hint="eastAsia"/>
        </w:rPr>
        <w:t>公开招标失败的采购项目重新组织公开招标，采购代理机构要重新按公开招标流程发布招标公告和招标文件、组成评标委员会等组织采购活动。</w:t>
      </w:r>
    </w:p>
    <w:p>
      <w:pPr>
        <w:tabs>
          <w:tab w:val="clear" w:pos="426"/>
        </w:tabs>
      </w:pPr>
      <w:r>
        <w:t>43.5</w:t>
      </w:r>
      <w:r>
        <w:rPr>
          <w:rFonts w:hint="eastAsia"/>
        </w:rPr>
        <w:t>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pPr>
      <w:r>
        <w:t>44</w:t>
      </w:r>
      <w:r>
        <w:rPr>
          <w:rFonts w:hint="eastAsia"/>
        </w:rPr>
        <w:t>．公开招标失败项目转为竞争性谈判方式采购的</w:t>
      </w:r>
    </w:p>
    <w:p>
      <w:pPr>
        <w:tabs>
          <w:tab w:val="clear" w:pos="426"/>
        </w:tabs>
      </w:pPr>
      <w:r>
        <w:t>44.1</w:t>
      </w:r>
      <w:r>
        <w:rPr>
          <w:rFonts w:hint="eastAsia"/>
        </w:rPr>
        <w:t>谈判文件</w:t>
      </w:r>
    </w:p>
    <w:p>
      <w:pPr>
        <w:tabs>
          <w:tab w:val="clear" w:pos="426"/>
        </w:tabs>
      </w:pPr>
      <w:r>
        <w:t>44.1.1</w:t>
      </w:r>
      <w:r>
        <w:rPr>
          <w:rFonts w:hint="eastAsia"/>
        </w:rPr>
        <w:t>公开招标失败项目转为竞争性谈判方式采购的，原招标文件转为谈判文件。</w:t>
      </w:r>
    </w:p>
    <w:p>
      <w:pPr>
        <w:tabs>
          <w:tab w:val="clear" w:pos="426"/>
        </w:tabs>
      </w:pPr>
      <w:r>
        <w:t>44.2</w:t>
      </w:r>
      <w:r>
        <w:rPr>
          <w:rFonts w:hint="eastAsia"/>
        </w:rPr>
        <w:t>谈判小组</w:t>
      </w:r>
    </w:p>
    <w:p>
      <w:pPr>
        <w:tabs>
          <w:tab w:val="clear" w:pos="426"/>
        </w:tabs>
      </w:pPr>
      <w:r>
        <w:t>44.2.1</w:t>
      </w:r>
      <w:r>
        <w:rPr>
          <w:rFonts w:hint="eastAsia"/>
        </w:rPr>
        <w:t>公开招标失败项目转为竞争性谈判方式采购后，评标委员会转为谈判小组；专家可重新抽取也可继续采用评标委员会内专家。</w:t>
      </w:r>
    </w:p>
    <w:p>
      <w:pPr>
        <w:tabs>
          <w:tab w:val="clear" w:pos="426"/>
        </w:tabs>
      </w:pPr>
      <w:r>
        <w:rPr>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pPr>
      <w:r>
        <w:t>44.3</w:t>
      </w:r>
      <w:r>
        <w:rPr>
          <w:rFonts w:hint="eastAsia"/>
        </w:rPr>
        <w:t>谈判程序</w:t>
      </w:r>
    </w:p>
    <w:p>
      <w:pPr>
        <w:tabs>
          <w:tab w:val="clear" w:pos="426"/>
        </w:tabs>
      </w:pPr>
      <w:r>
        <w:t>44.3.1</w:t>
      </w:r>
      <w:r>
        <w:rPr>
          <w:rFonts w:hint="eastAsia"/>
        </w:rPr>
        <w:t>参加谈判的供应商和谈判小组成员填写谈判登记表，并交验证明文件（法定代表人证明书、法人授权委托书、被授权的谈判代表身份证原件）。</w:t>
      </w:r>
    </w:p>
    <w:p>
      <w:pPr>
        <w:tabs>
          <w:tab w:val="clear" w:pos="426"/>
        </w:tabs>
      </w:pPr>
      <w:r>
        <w:t>44.3.2</w:t>
      </w:r>
      <w:r>
        <w:rPr>
          <w:rFonts w:hint="eastAsia"/>
        </w:rPr>
        <w:t>谈判小组主持人宣布谈判规则和谈判纪律。</w:t>
      </w:r>
    </w:p>
    <w:p>
      <w:pPr>
        <w:tabs>
          <w:tab w:val="clear" w:pos="426"/>
        </w:tabs>
      </w:pPr>
      <w:r>
        <w:t>44.3.3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w:t>
      </w:r>
      <w:r>
        <w:t>2</w:t>
      </w:r>
      <w:r>
        <w:rPr>
          <w:rFonts w:hint="eastAsia"/>
        </w:rPr>
        <w:t>）报价；</w:t>
      </w:r>
    </w:p>
    <w:p>
      <w:pPr>
        <w:tabs>
          <w:tab w:val="clear" w:pos="426"/>
        </w:tabs>
      </w:pPr>
      <w:r>
        <w:rPr>
          <w:rFonts w:hint="eastAsia"/>
        </w:rPr>
        <w:t>（</w:t>
      </w:r>
      <w:r>
        <w:t>3</w:t>
      </w:r>
      <w:r>
        <w:rPr>
          <w:rFonts w:hint="eastAsia"/>
        </w:rPr>
        <w:t>）其它相关事项。</w:t>
      </w:r>
    </w:p>
    <w:p>
      <w:pPr>
        <w:tabs>
          <w:tab w:val="clear" w:pos="426"/>
        </w:tabs>
      </w:pPr>
      <w:r>
        <w:rPr>
          <w:rFonts w:hint="eastAsia"/>
        </w:rPr>
        <w:t>原招标文件或谈判邀请文件有实质性变动的，谈判小组应当通过采购代理机构通知所有参加谈判的供应商。</w:t>
      </w:r>
    </w:p>
    <w:p>
      <w:pPr>
        <w:tabs>
          <w:tab w:val="clear" w:pos="426"/>
        </w:tabs>
      </w:pPr>
      <w:r>
        <w:t>44.3.4</w:t>
      </w:r>
      <w:r>
        <w:rPr>
          <w:rFonts w:hint="eastAsia"/>
        </w:rPr>
        <w:t>谈判小组可以用书面形式要求各供应商对其谈判应答文件含义不明确的内容作必要的澄清或者说明，重要问题供应商应以书面形式进行澄清、说明。</w:t>
      </w:r>
    </w:p>
    <w:p>
      <w:pPr>
        <w:tabs>
          <w:tab w:val="clear" w:pos="426"/>
        </w:tabs>
      </w:pPr>
      <w:r>
        <w:t xml:space="preserve">44.3.5 </w:t>
      </w:r>
      <w:r>
        <w:rPr>
          <w:rFonts w:hint="eastAsia"/>
        </w:rPr>
        <w:t>允许供应商在谈判结束之前根据谈判小组提出的内容进行澄清、修改或完善，或对项目方案进行相应的调整。</w:t>
      </w:r>
    </w:p>
    <w:p>
      <w:pPr>
        <w:tabs>
          <w:tab w:val="clear" w:pos="426"/>
        </w:tabs>
      </w:pPr>
      <w:r>
        <w:t>44.3.6</w:t>
      </w:r>
      <w:r>
        <w:rPr>
          <w:rFonts w:hint="eastAsia"/>
        </w:rPr>
        <w:t>供应商对谈判应答文件进行修改，都应形成文字材料，并经供应商谈判授权人签字认可。</w:t>
      </w:r>
    </w:p>
    <w:p>
      <w:pPr>
        <w:tabs>
          <w:tab w:val="clear" w:pos="426"/>
        </w:tabs>
      </w:pPr>
      <w:r>
        <w:t>44.3.7</w:t>
      </w:r>
      <w:r>
        <w:rPr>
          <w:rFonts w:hint="eastAsia"/>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szCs w:val="21"/>
        </w:rPr>
      </w:pPr>
      <w:r>
        <w:rPr>
          <w:szCs w:val="21"/>
        </w:rPr>
        <w:t>44.3.8</w:t>
      </w:r>
      <w:r>
        <w:rPr>
          <w:rFonts w:hint="eastAsia"/>
          <w:szCs w:val="21"/>
        </w:rPr>
        <w:t>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pPr>
      <w:r>
        <w:t>44.3.9</w:t>
      </w:r>
      <w:r>
        <w:rPr>
          <w:rFonts w:hint="eastAsia"/>
        </w:rPr>
        <w:t>谈判结束后，谈判小组根据供应商提供的谈判应答文件、谈判过程中产生的相关资料，对供应商谈判应答文件进行评估与比较，提出书面评审意见。</w:t>
      </w:r>
    </w:p>
    <w:p>
      <w:pPr>
        <w:tabs>
          <w:tab w:val="clear" w:pos="426"/>
        </w:tabs>
      </w:pPr>
      <w:r>
        <w:t>44.3.10</w:t>
      </w:r>
      <w:r>
        <w:rPr>
          <w:rFonts w:hint="eastAsia"/>
        </w:rPr>
        <w:t>谈判小组将对谈判过程进行记录，以存档备查。</w:t>
      </w:r>
    </w:p>
    <w:p>
      <w:pPr>
        <w:tabs>
          <w:tab w:val="clear" w:pos="426"/>
        </w:tabs>
      </w:pPr>
      <w:r>
        <w:t>44.4</w:t>
      </w:r>
      <w:r>
        <w:rPr>
          <w:rFonts w:hint="eastAsia"/>
        </w:rPr>
        <w:t>评标方法和定标原则</w:t>
      </w:r>
    </w:p>
    <w:p>
      <w:pPr>
        <w:tabs>
          <w:tab w:val="clear" w:pos="426"/>
        </w:tabs>
      </w:pPr>
      <w:r>
        <w:t>44.4.1</w:t>
      </w:r>
      <w:r>
        <w:rPr>
          <w:rFonts w:hint="eastAsia"/>
        </w:rPr>
        <w:t>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pPr>
      <w:r>
        <w:rPr>
          <w:szCs w:val="21"/>
        </w:rPr>
        <w:t>44.4.2</w:t>
      </w:r>
      <w:r>
        <w:rPr>
          <w:rFonts w:hint="eastAsia"/>
          <w:szCs w:val="21"/>
        </w:rPr>
        <w:t>对公开招标失败转为竞争性谈判方式采购的项目，谈判小组</w:t>
      </w:r>
      <w:r>
        <w:rPr>
          <w:rFonts w:hint="eastAsia"/>
        </w:rPr>
        <w:t>对谈判应答文件进行评审和比较，综合各家供应商最终的方案、服务和投资等谈判结果并按本通用条款第</w:t>
      </w:r>
      <w:r>
        <w:rPr>
          <w:bCs/>
          <w:szCs w:val="21"/>
        </w:rPr>
        <w:t>37.1.1</w:t>
      </w:r>
      <w:r>
        <w:rPr>
          <w:rFonts w:hint="eastAsia"/>
          <w:bCs/>
          <w:szCs w:val="21"/>
        </w:rPr>
        <w:t>款</w:t>
      </w:r>
      <w:r>
        <w:rPr>
          <w:rFonts w:hint="eastAsia"/>
        </w:rPr>
        <w:t>的</w:t>
      </w:r>
      <w:r>
        <w:rPr>
          <w:rFonts w:hint="eastAsia"/>
          <w:bCs/>
        </w:rPr>
        <w:t>最低评标价法</w:t>
      </w:r>
      <w:r>
        <w:rPr>
          <w:rFonts w:hint="eastAsia"/>
        </w:rPr>
        <w:t>进行评审。</w:t>
      </w:r>
    </w:p>
    <w:p>
      <w:pPr>
        <w:tabs>
          <w:tab w:val="clear" w:pos="426"/>
        </w:tabs>
      </w:pPr>
      <w:r>
        <w:t>44.4.3</w:t>
      </w:r>
      <w:r>
        <w:rPr>
          <w:rFonts w:hint="eastAsia"/>
        </w:rPr>
        <w:t>若要采用其他评标方法的，必须报经相关监督管理部门批准，谈判小组按批准的评标方法进行评审。谈判邀请文件中应注明批准的评标方法。</w:t>
      </w:r>
    </w:p>
    <w:p>
      <w:pPr>
        <w:tabs>
          <w:tab w:val="clear" w:pos="426"/>
        </w:tabs>
      </w:pPr>
      <w:r>
        <w:t>44.4.4</w:t>
      </w:r>
      <w:r>
        <w:rPr>
          <w:rFonts w:hint="eastAsia"/>
        </w:rPr>
        <w:t>谈判小组向采购代理机构提交书面评标报告，并推荐中标候选人或确定中标供应商。</w:t>
      </w:r>
    </w:p>
    <w:p>
      <w:pPr>
        <w:tabs>
          <w:tab w:val="clear" w:pos="426"/>
        </w:tabs>
      </w:pPr>
      <w:r>
        <w:t>45</w:t>
      </w:r>
      <w:r>
        <w:rPr>
          <w:rFonts w:hint="eastAsia"/>
        </w:rPr>
        <w:t>．公开招标失败项目转为单一来源谈判方式采购</w:t>
      </w:r>
    </w:p>
    <w:p>
      <w:pPr>
        <w:tabs>
          <w:tab w:val="clear" w:pos="426"/>
        </w:tabs>
      </w:pPr>
      <w:r>
        <w:t>45.1</w:t>
      </w:r>
      <w:r>
        <w:rPr>
          <w:rFonts w:hint="eastAsia"/>
        </w:rPr>
        <w:t>谈判文件</w:t>
      </w:r>
    </w:p>
    <w:p>
      <w:pPr>
        <w:tabs>
          <w:tab w:val="clear" w:pos="426"/>
        </w:tabs>
      </w:pPr>
      <w:r>
        <w:t>45.1.1</w:t>
      </w:r>
      <w:r>
        <w:rPr>
          <w:rFonts w:hint="eastAsia"/>
        </w:rPr>
        <w:t>公开招标失败项目转为单一来源谈判方式采购的，原招标文件转为谈判文件。</w:t>
      </w:r>
    </w:p>
    <w:p>
      <w:pPr>
        <w:tabs>
          <w:tab w:val="clear" w:pos="426"/>
        </w:tabs>
      </w:pPr>
      <w:r>
        <w:t>45.2</w:t>
      </w:r>
      <w:r>
        <w:rPr>
          <w:rFonts w:hint="eastAsia"/>
        </w:rPr>
        <w:t>谈判小组</w:t>
      </w:r>
    </w:p>
    <w:p>
      <w:pPr>
        <w:tabs>
          <w:tab w:val="clear" w:pos="426"/>
        </w:tabs>
      </w:pPr>
      <w:r>
        <w:t>45.2.1</w:t>
      </w:r>
      <w:r>
        <w:rPr>
          <w:rFonts w:hint="eastAsia"/>
        </w:rPr>
        <w:t>公开招标失败项目转为单一来源谈判方式采购后，评标委员会转为谈判小组，专家可重新抽取也可继续采用评标委员会内专家。</w:t>
      </w:r>
    </w:p>
    <w:p>
      <w:pPr>
        <w:tabs>
          <w:tab w:val="clear" w:pos="426"/>
        </w:tabs>
      </w:pPr>
      <w:r>
        <w:rPr>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pPr>
      <w:r>
        <w:t>45.3</w:t>
      </w:r>
      <w:r>
        <w:rPr>
          <w:rFonts w:hint="eastAsia"/>
        </w:rPr>
        <w:t>谈判程序</w:t>
      </w:r>
    </w:p>
    <w:p>
      <w:pPr>
        <w:tabs>
          <w:tab w:val="clear" w:pos="426"/>
        </w:tabs>
      </w:pPr>
      <w:r>
        <w:t>45.3.1</w:t>
      </w:r>
      <w:r>
        <w:rPr>
          <w:rFonts w:hint="eastAsia"/>
        </w:rPr>
        <w:t>参加谈判的供应商和谈判小组成员填写谈判登记表，并交验证明文件（法定代表人证明书、法人授权委托书、被授权的谈判代表身份证原件）。</w:t>
      </w:r>
    </w:p>
    <w:p>
      <w:pPr>
        <w:tabs>
          <w:tab w:val="clear" w:pos="426"/>
        </w:tabs>
      </w:pPr>
      <w:r>
        <w:t>45.3.2</w:t>
      </w:r>
      <w:r>
        <w:rPr>
          <w:rFonts w:hint="eastAsia"/>
        </w:rPr>
        <w:t>谈判小组主持人宣布谈判规则和谈判纪律。</w:t>
      </w:r>
    </w:p>
    <w:p>
      <w:pPr>
        <w:tabs>
          <w:tab w:val="clear" w:pos="426"/>
        </w:tabs>
      </w:pPr>
      <w:r>
        <w:t>45.3.3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w:t>
      </w:r>
      <w:r>
        <w:t>2</w:t>
      </w:r>
      <w:r>
        <w:rPr>
          <w:rFonts w:hint="eastAsia"/>
        </w:rPr>
        <w:t>）报价；</w:t>
      </w:r>
    </w:p>
    <w:p>
      <w:pPr>
        <w:tabs>
          <w:tab w:val="clear" w:pos="426"/>
        </w:tabs>
      </w:pPr>
      <w:r>
        <w:rPr>
          <w:rFonts w:hint="eastAsia"/>
        </w:rPr>
        <w:t>（</w:t>
      </w:r>
      <w:r>
        <w:t>3</w:t>
      </w:r>
      <w:r>
        <w:rPr>
          <w:rFonts w:hint="eastAsia"/>
        </w:rPr>
        <w:t>）其它相关事项。</w:t>
      </w:r>
    </w:p>
    <w:p>
      <w:pPr>
        <w:tabs>
          <w:tab w:val="clear" w:pos="426"/>
        </w:tabs>
      </w:pPr>
      <w:r>
        <w:rPr>
          <w:rFonts w:hint="eastAsia"/>
        </w:rPr>
        <w:t>原招标文件或谈判邀请文件有实质性变动的，谈判小组应当通过采购代理机构通知供应商。</w:t>
      </w:r>
    </w:p>
    <w:p>
      <w:pPr>
        <w:tabs>
          <w:tab w:val="clear" w:pos="426"/>
        </w:tabs>
      </w:pPr>
      <w:r>
        <w:t>45.3.4</w:t>
      </w:r>
      <w:r>
        <w:rPr>
          <w:rFonts w:hint="eastAsia"/>
        </w:rPr>
        <w:t>谈判小组可以用书面形式要求供应商对其谈判应答文件含义不明确的内容作必要的澄清或者说明，重要问题供应商应以书面形式进行澄清、说明。</w:t>
      </w:r>
    </w:p>
    <w:p>
      <w:pPr>
        <w:tabs>
          <w:tab w:val="clear" w:pos="426"/>
        </w:tabs>
      </w:pPr>
      <w:r>
        <w:t xml:space="preserve">45.3.5 </w:t>
      </w:r>
      <w:r>
        <w:rPr>
          <w:rFonts w:hint="eastAsia"/>
        </w:rPr>
        <w:t>允许供应商在谈判结束之前根据谈判小组提出的内容进行澄清、修改或完善，或对项目方案进行相应的调整。</w:t>
      </w:r>
    </w:p>
    <w:p>
      <w:pPr>
        <w:tabs>
          <w:tab w:val="clear" w:pos="426"/>
        </w:tabs>
      </w:pPr>
      <w:r>
        <w:t>45.3.6</w:t>
      </w:r>
      <w:r>
        <w:rPr>
          <w:rFonts w:hint="eastAsia"/>
        </w:rPr>
        <w:t>供应商对谈判应答文件进行修改，都应形成文字材料，并经供应商谈判授权人签字认可。</w:t>
      </w:r>
    </w:p>
    <w:p>
      <w:pPr>
        <w:tabs>
          <w:tab w:val="clear" w:pos="426"/>
        </w:tabs>
      </w:pPr>
      <w:r>
        <w:t>45.3.7</w:t>
      </w:r>
      <w:r>
        <w:rPr>
          <w:rFonts w:hint="eastAsia"/>
        </w:rPr>
        <w:t>谈判小组与单一来源供应商进行谈判。供应商有两次更改机会；供应商应在规定的时间内提出最后更改及书面承诺。</w:t>
      </w:r>
    </w:p>
    <w:p>
      <w:pPr>
        <w:tabs>
          <w:tab w:val="clear" w:pos="426"/>
        </w:tabs>
        <w:rPr>
          <w:szCs w:val="21"/>
        </w:rPr>
      </w:pPr>
      <w:r>
        <w:rPr>
          <w:szCs w:val="21"/>
        </w:rPr>
        <w:t>45.3.8</w:t>
      </w:r>
      <w:r>
        <w:rPr>
          <w:rFonts w:hint="eastAsia"/>
          <w:szCs w:val="21"/>
        </w:rPr>
        <w:t>有下列情形之一的，供应商的谈判结果作废标处理，</w:t>
      </w:r>
      <w:r>
        <w:rPr>
          <w:rFonts w:hint="eastAsia"/>
        </w:rPr>
        <w:t>具体内容见原招标文件中不符合“资格、符合性评审条款”部分以及谈判邀请中相应的变动部分。</w:t>
      </w:r>
    </w:p>
    <w:p>
      <w:pPr>
        <w:tabs>
          <w:tab w:val="clear" w:pos="426"/>
        </w:tabs>
      </w:pPr>
      <w:r>
        <w:t>45.3.9</w:t>
      </w:r>
      <w:r>
        <w:rPr>
          <w:rFonts w:hint="eastAsia"/>
        </w:rPr>
        <w:t>谈判结束后，谈判小组根据供应商提供的谈判应答文件、谈判过程中产生的相关资料，对供应商谈判应答文件进行评估与比较，提出书面评审意见。</w:t>
      </w:r>
    </w:p>
    <w:p>
      <w:pPr>
        <w:tabs>
          <w:tab w:val="clear" w:pos="426"/>
        </w:tabs>
      </w:pPr>
      <w:r>
        <w:t>45.3.10</w:t>
      </w:r>
      <w:r>
        <w:rPr>
          <w:rFonts w:hint="eastAsia"/>
        </w:rPr>
        <w:t>谈判小组将对谈判过程进行记录，以存档备查。</w:t>
      </w:r>
    </w:p>
    <w:p>
      <w:pPr>
        <w:tabs>
          <w:tab w:val="clear" w:pos="426"/>
        </w:tabs>
      </w:pPr>
      <w:r>
        <w:t>45.4</w:t>
      </w:r>
      <w:r>
        <w:rPr>
          <w:rFonts w:hint="eastAsia"/>
        </w:rPr>
        <w:t>评标方法和定标原则</w:t>
      </w:r>
    </w:p>
    <w:p>
      <w:pPr>
        <w:tabs>
          <w:tab w:val="clear" w:pos="426"/>
        </w:tabs>
      </w:pPr>
      <w:r>
        <w:rPr>
          <w:szCs w:val="21"/>
        </w:rPr>
        <w:t>45.4.1</w:t>
      </w:r>
      <w:r>
        <w:rPr>
          <w:rFonts w:hint="eastAsia"/>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w:t>
      </w:r>
      <w:r>
        <w:t>37.1.1</w:t>
      </w:r>
      <w:r>
        <w:rPr>
          <w:rFonts w:hint="eastAsia"/>
        </w:rPr>
        <w:t>的</w:t>
      </w:r>
      <w:r>
        <w:rPr>
          <w:rFonts w:hint="eastAsia"/>
          <w:bCs/>
        </w:rPr>
        <w:t>最低评标价法</w:t>
      </w:r>
      <w:r>
        <w:rPr>
          <w:rFonts w:hint="eastAsia"/>
        </w:rPr>
        <w:t>进行评审。</w:t>
      </w:r>
    </w:p>
    <w:p>
      <w:pPr>
        <w:tabs>
          <w:tab w:val="clear" w:pos="426"/>
        </w:tabs>
        <w:rPr>
          <w:szCs w:val="21"/>
        </w:rPr>
      </w:pPr>
      <w:r>
        <w:t>45.4.2</w:t>
      </w:r>
      <w:r>
        <w:rPr>
          <w:rFonts w:hint="eastAsia"/>
        </w:rPr>
        <w:t>谈判小组向采购代理机构提交书面评标报告，并推荐中标候选人或确定中标供应商。</w:t>
      </w:r>
    </w:p>
    <w:p>
      <w:pPr>
        <w:pStyle w:val="4"/>
        <w:rPr>
          <w:sz w:val="28"/>
          <w:szCs w:val="28"/>
        </w:rPr>
      </w:pPr>
      <w:bookmarkStart w:id="175" w:name="_Toc530152530"/>
      <w:bookmarkStart w:id="176" w:name="_Toc14427262"/>
      <w:bookmarkStart w:id="177" w:name="_Toc120892190"/>
      <w:bookmarkStart w:id="178" w:name="_Toc529280589"/>
      <w:r>
        <w:rPr>
          <w:rFonts w:hint="eastAsia"/>
        </w:rPr>
        <w:t>第九章</w:t>
      </w:r>
      <w:r>
        <w:t xml:space="preserve"> </w:t>
      </w:r>
      <w:r>
        <w:rPr>
          <w:rFonts w:hint="eastAsia"/>
        </w:rPr>
        <w:t>合同的授予与备案</w:t>
      </w:r>
      <w:bookmarkEnd w:id="175"/>
      <w:bookmarkEnd w:id="176"/>
      <w:bookmarkEnd w:id="177"/>
      <w:bookmarkEnd w:id="178"/>
    </w:p>
    <w:p>
      <w:pPr>
        <w:tabs>
          <w:tab w:val="clear" w:pos="426"/>
        </w:tabs>
      </w:pPr>
      <w:r>
        <w:t>46</w:t>
      </w:r>
      <w:r>
        <w:rPr>
          <w:rFonts w:hint="eastAsia"/>
        </w:rPr>
        <w:t>．</w:t>
      </w:r>
      <w:r>
        <w:t xml:space="preserve">  </w:t>
      </w:r>
      <w:r>
        <w:rPr>
          <w:rFonts w:hint="eastAsia"/>
        </w:rPr>
        <w:t>履约担保</w:t>
      </w:r>
    </w:p>
    <w:p>
      <w:pPr>
        <w:tabs>
          <w:tab w:val="clear" w:pos="426"/>
        </w:tabs>
      </w:pPr>
      <w:r>
        <w:t xml:space="preserve">46.1  </w:t>
      </w:r>
      <w:r>
        <w:rPr>
          <w:rFonts w:hint="eastAsia"/>
        </w:rPr>
        <w:t>本项目履约担保的相关要求：详见“投标须知前附表”。</w:t>
      </w:r>
    </w:p>
    <w:p>
      <w:pPr>
        <w:tabs>
          <w:tab w:val="clear" w:pos="426"/>
        </w:tabs>
      </w:pPr>
      <w:r>
        <w:t xml:space="preserve">46.2  </w:t>
      </w:r>
      <w:r>
        <w:rPr>
          <w:rFonts w:hint="eastAsia"/>
        </w:rPr>
        <w:t>在签订合同前，中标供应商应按规定向采购人提交履约担保，采用履约保函形式的可参照使用本招标文件提供的格式。</w:t>
      </w:r>
    </w:p>
    <w:p>
      <w:pPr>
        <w:tabs>
          <w:tab w:val="clear" w:pos="426"/>
        </w:tabs>
      </w:pPr>
      <w:r>
        <w:t xml:space="preserve">46.3  </w:t>
      </w:r>
      <w:r>
        <w:rPr>
          <w:rFonts w:hint="eastAsia"/>
        </w:rPr>
        <w:t>联合体中标的，其履约担保由联合体牵头人提交，并应符合本节第</w:t>
      </w:r>
      <w:r>
        <w:t>42.1</w:t>
      </w:r>
      <w:r>
        <w:rPr>
          <w:rFonts w:hint="eastAsia"/>
        </w:rPr>
        <w:t>条、第</w:t>
      </w:r>
      <w:r>
        <w:t>45.2</w:t>
      </w:r>
      <w:r>
        <w:rPr>
          <w:rFonts w:hint="eastAsia"/>
        </w:rPr>
        <w:t>条的规定。</w:t>
      </w:r>
    </w:p>
    <w:p>
      <w:pPr>
        <w:tabs>
          <w:tab w:val="clear" w:pos="426"/>
        </w:tabs>
      </w:pPr>
      <w:r>
        <w:t xml:space="preserve">46.4  </w:t>
      </w:r>
      <w:r>
        <w:rPr>
          <w:rFonts w:hint="eastAsia"/>
        </w:rPr>
        <w:t>如果中标供应商拒不提交本节第</w:t>
      </w:r>
      <w:r>
        <w:t>42.1</w:t>
      </w:r>
      <w:r>
        <w:rPr>
          <w:rFonts w:hint="eastAsia"/>
        </w:rPr>
        <w:t>条、第</w:t>
      </w:r>
      <w:r>
        <w:t>42.2</w:t>
      </w:r>
      <w:r>
        <w:rPr>
          <w:rFonts w:hint="eastAsia"/>
        </w:rPr>
        <w:t>条要求的履约担保的，采购人可取消其中标资格，并没收其投标担保。</w:t>
      </w:r>
    </w:p>
    <w:p>
      <w:pPr>
        <w:tabs>
          <w:tab w:val="clear" w:pos="426"/>
        </w:tabs>
      </w:pPr>
      <w:r>
        <w:t>47</w:t>
      </w:r>
      <w:r>
        <w:rPr>
          <w:rFonts w:hint="eastAsia"/>
        </w:rPr>
        <w:t>．</w:t>
      </w:r>
      <w:r>
        <w:t xml:space="preserve">  </w:t>
      </w:r>
      <w:r>
        <w:rPr>
          <w:rFonts w:hint="eastAsia"/>
        </w:rPr>
        <w:t>签订合同</w:t>
      </w:r>
    </w:p>
    <w:p>
      <w:pPr>
        <w:tabs>
          <w:tab w:val="clear" w:pos="426"/>
        </w:tabs>
      </w:pPr>
      <w:r>
        <w:t xml:space="preserve">47.1  </w:t>
      </w:r>
      <w:r>
        <w:rPr>
          <w:rFonts w:hint="eastAsia"/>
        </w:rPr>
        <w:t>采购人和中标供应商应当按“投标须知前附表”的规定，依据招标文件和中标供应商的投标文件订立书面合同。</w:t>
      </w:r>
    </w:p>
    <w:p>
      <w:pPr>
        <w:tabs>
          <w:tab w:val="clear" w:pos="426"/>
        </w:tabs>
      </w:pPr>
      <w:r>
        <w:t xml:space="preserve">47.2  </w:t>
      </w:r>
      <w:r>
        <w:rPr>
          <w:rFonts w:hint="eastAsia"/>
        </w:rPr>
        <w:t>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4"/>
      </w:pPr>
      <w:bookmarkStart w:id="179" w:name="_Toc14427263"/>
      <w:bookmarkStart w:id="180" w:name="_Toc529280590"/>
      <w:bookmarkStart w:id="181" w:name="_Toc530152531"/>
      <w:bookmarkStart w:id="182" w:name="_Toc120892191"/>
      <w:r>
        <w:rPr>
          <w:rFonts w:hint="eastAsia"/>
        </w:rPr>
        <w:t>第十章</w:t>
      </w:r>
      <w:r>
        <w:t xml:space="preserve"> </w:t>
      </w:r>
      <w:r>
        <w:rPr>
          <w:rFonts w:hint="eastAsia"/>
        </w:rPr>
        <w:t>质疑受理</w:t>
      </w:r>
      <w:bookmarkEnd w:id="179"/>
      <w:bookmarkEnd w:id="180"/>
      <w:bookmarkEnd w:id="181"/>
      <w:bookmarkEnd w:id="182"/>
    </w:p>
    <w:p>
      <w:pPr>
        <w:tabs>
          <w:tab w:val="clear" w:pos="426"/>
        </w:tabs>
      </w:pPr>
      <w:r>
        <w:t>48.</w:t>
      </w:r>
      <w:r>
        <w:rPr>
          <w:rFonts w:hint="eastAsia"/>
        </w:rPr>
        <w:t>质疑受理机构</w:t>
      </w:r>
    </w:p>
    <w:p>
      <w:pPr>
        <w:tabs>
          <w:tab w:val="clear" w:pos="426"/>
        </w:tabs>
        <w:rPr>
          <w:sz w:val="22"/>
          <w:szCs w:val="22"/>
        </w:rPr>
      </w:pPr>
      <w:r>
        <w:rPr>
          <w:rFonts w:hint="eastAsia"/>
        </w:rPr>
        <w:t>采购代理机构及采购人负责受理和答复质疑</w:t>
      </w:r>
      <w:r>
        <w:rPr>
          <w:rFonts w:hint="eastAsia"/>
          <w:sz w:val="22"/>
          <w:szCs w:val="22"/>
        </w:rPr>
        <w:t>。</w:t>
      </w:r>
    </w:p>
    <w:p>
      <w:pPr>
        <w:tabs>
          <w:tab w:val="clear" w:pos="426"/>
        </w:tabs>
      </w:pPr>
      <w:r>
        <w:t>49.</w:t>
      </w:r>
      <w:r>
        <w:rPr>
          <w:rFonts w:hint="eastAsia"/>
        </w:rPr>
        <w:t>质疑处理原则</w:t>
      </w:r>
    </w:p>
    <w:p>
      <w:pPr>
        <w:tabs>
          <w:tab w:val="clear" w:pos="426"/>
        </w:tabs>
      </w:pPr>
      <w:r>
        <w:t>49.1</w:t>
      </w:r>
      <w:r>
        <w:rPr>
          <w:rFonts w:hint="eastAsia"/>
        </w:rPr>
        <w:t>质疑处理遵循公平、公正、规范、高效的原则。</w:t>
      </w:r>
    </w:p>
    <w:p>
      <w:pPr>
        <w:tabs>
          <w:tab w:val="clear" w:pos="426"/>
        </w:tabs>
      </w:pPr>
      <w:r>
        <w:t>49.2</w:t>
      </w:r>
      <w:r>
        <w:rPr>
          <w:rFonts w:hint="eastAsia"/>
        </w:rPr>
        <w:t>供应商质疑实行实名制和</w:t>
      </w:r>
      <w:r>
        <w:t>“</w:t>
      </w:r>
      <w:r>
        <w:rPr>
          <w:rFonts w:hint="eastAsia"/>
        </w:rPr>
        <w:t>谁质疑，谁举证</w:t>
      </w:r>
      <w:r>
        <w:t>”</w:t>
      </w:r>
      <w:r>
        <w:rPr>
          <w:rFonts w:hint="eastAsia"/>
        </w:rPr>
        <w:t>的原则，质疑应有具体的事项及事实根据。</w:t>
      </w:r>
    </w:p>
    <w:p>
      <w:pPr>
        <w:tabs>
          <w:tab w:val="clear" w:pos="426"/>
        </w:tabs>
      </w:pPr>
      <w:r>
        <w:t>50.</w:t>
      </w:r>
      <w:r>
        <w:rPr>
          <w:rFonts w:hint="eastAsia"/>
        </w:rPr>
        <w:t>质疑受理的时效和范围</w:t>
      </w:r>
    </w:p>
    <w:p>
      <w:pPr>
        <w:tabs>
          <w:tab w:val="clear" w:pos="426"/>
        </w:tabs>
      </w:pPr>
      <w:r>
        <w:t>50.1</w:t>
      </w:r>
      <w:r>
        <w:rPr>
          <w:rFonts w:hint="eastAsia"/>
        </w:rPr>
        <w:t>供应商认为采购文件、采购过程和中标、成交结果使自己权益受到损害的，可以在知道或者应知其权益受到损害之日起</w:t>
      </w:r>
      <w:r>
        <w:t>10</w:t>
      </w:r>
      <w:r>
        <w:rPr>
          <w:rFonts w:hint="eastAsia"/>
        </w:rPr>
        <w:t>个工作日内，以书面形式向采购代理机构提出质疑。</w:t>
      </w:r>
    </w:p>
    <w:p>
      <w:pPr>
        <w:tabs>
          <w:tab w:val="clear" w:pos="426"/>
        </w:tabs>
      </w:pPr>
      <w:r>
        <w:t>50.2</w:t>
      </w:r>
      <w:r>
        <w:rPr>
          <w:rFonts w:hint="eastAsia"/>
        </w:rPr>
        <w:t>供应商对采购文件有疑问的，采购代理机构及采购人按答疑程序处理；供应商对采购文件有异议的，按质疑程序处理。</w:t>
      </w:r>
    </w:p>
    <w:p>
      <w:pPr>
        <w:tabs>
          <w:tab w:val="clear" w:pos="426"/>
        </w:tabs>
      </w:pPr>
      <w:r>
        <w:t>51.</w:t>
      </w:r>
      <w:r>
        <w:rPr>
          <w:rFonts w:hint="eastAsia"/>
        </w:rPr>
        <w:t>质疑条件</w:t>
      </w:r>
    </w:p>
    <w:p>
      <w:pPr>
        <w:tabs>
          <w:tab w:val="clear" w:pos="426"/>
        </w:tabs>
      </w:pPr>
      <w:r>
        <w:t>51.1</w:t>
      </w:r>
      <w:r>
        <w:rPr>
          <w:rFonts w:hint="eastAsia"/>
        </w:rPr>
        <w:t>提出质疑的应是直接参与相应采购项目的供应商。以联合体形式参与的，由联合体共同提出；</w:t>
      </w:r>
    </w:p>
    <w:p>
      <w:pPr>
        <w:tabs>
          <w:tab w:val="clear" w:pos="426"/>
        </w:tabs>
      </w:pPr>
      <w:r>
        <w:t>51.2</w:t>
      </w:r>
      <w:r>
        <w:rPr>
          <w:rFonts w:hint="eastAsia"/>
        </w:rPr>
        <w:t>提供质疑的项目名称和编号、质疑供应商的单位名称、详细地址、邮政编码、联系人及联系电话等基本情况；</w:t>
      </w:r>
    </w:p>
    <w:p>
      <w:pPr>
        <w:tabs>
          <w:tab w:val="clear" w:pos="426"/>
        </w:tabs>
      </w:pPr>
      <w:r>
        <w:t>51.3</w:t>
      </w:r>
      <w:r>
        <w:rPr>
          <w:rFonts w:hint="eastAsia"/>
        </w:rPr>
        <w:t>有质疑的具体事项、请求及理由，并附相关证据材料；</w:t>
      </w:r>
    </w:p>
    <w:p>
      <w:pPr>
        <w:tabs>
          <w:tab w:val="clear" w:pos="426"/>
        </w:tabs>
      </w:pPr>
      <w:r>
        <w:t>51.4</w:t>
      </w:r>
      <w:r>
        <w:rPr>
          <w:rFonts w:hint="eastAsia"/>
        </w:rPr>
        <w:t>质疑书加盖公章，被授权人进行质疑的同时提交法人授权委托书；</w:t>
      </w:r>
    </w:p>
    <w:p>
      <w:pPr>
        <w:tabs>
          <w:tab w:val="clear" w:pos="426"/>
        </w:tabs>
      </w:pPr>
      <w:r>
        <w:t>51.5</w:t>
      </w:r>
      <w:r>
        <w:rPr>
          <w:rFonts w:hint="eastAsia"/>
        </w:rPr>
        <w:t>质疑材料中有外文资料的，应一并附上中文译本，并以中文译本为准。</w:t>
      </w:r>
    </w:p>
    <w:p>
      <w:pPr>
        <w:tabs>
          <w:tab w:val="clear" w:pos="426"/>
        </w:tabs>
      </w:pPr>
      <w:r>
        <w:t>51.6</w:t>
      </w:r>
      <w:r>
        <w:rPr>
          <w:rFonts w:hint="eastAsia"/>
        </w:rPr>
        <w:t>质疑不得超过质疑受理的时效和范围。</w:t>
      </w:r>
    </w:p>
    <w:p>
      <w:pPr>
        <w:tabs>
          <w:tab w:val="clear" w:pos="426"/>
        </w:tabs>
      </w:pPr>
      <w:r>
        <w:rPr>
          <w:rFonts w:hint="eastAsia"/>
        </w:rPr>
        <w:t>不符合上述条件的，我采购代理机构不予受理。</w:t>
      </w:r>
    </w:p>
    <w:p>
      <w:pPr>
        <w:tabs>
          <w:tab w:val="clear" w:pos="426"/>
        </w:tabs>
      </w:pPr>
      <w:r>
        <w:t>52.</w:t>
      </w:r>
      <w:r>
        <w:rPr>
          <w:rFonts w:hint="eastAsia"/>
        </w:rPr>
        <w:t>受理质疑办理程序</w:t>
      </w:r>
    </w:p>
    <w:p>
      <w:pPr>
        <w:tabs>
          <w:tab w:val="clear" w:pos="426"/>
        </w:tabs>
      </w:pPr>
      <w:r>
        <w:t>52.1</w:t>
      </w:r>
      <w:r>
        <w:rPr>
          <w:rFonts w:hint="eastAsia"/>
        </w:rPr>
        <w:t>先与质疑供应商进行沟通，以消除因误解或对采购规则和程序的不了解而引起的质疑。对沟通情况满意的，供应商撤回质疑，质疑处理程序终止。</w:t>
      </w:r>
    </w:p>
    <w:p>
      <w:pPr>
        <w:tabs>
          <w:tab w:val="clear" w:pos="426"/>
        </w:tabs>
      </w:pPr>
      <w:r>
        <w:t>52.2</w:t>
      </w:r>
      <w:r>
        <w:rPr>
          <w:rFonts w:hint="eastAsia"/>
        </w:rPr>
        <w:t>处理质疑一般进行书面审查；必要时听取各方当事人的陈述和申辩、进行相关调查；组织原评标委员会或谈判小组进行复议。</w:t>
      </w:r>
    </w:p>
    <w:p>
      <w:pPr>
        <w:tabs>
          <w:tab w:val="clear" w:pos="426"/>
        </w:tabs>
      </w:pPr>
      <w:r>
        <w:t>52.3</w:t>
      </w:r>
      <w:r>
        <w:rPr>
          <w:rFonts w:hint="eastAsia"/>
        </w:rPr>
        <w:t>在质疑处理期间，采购代理机构视情形决定暂停采购活动。</w:t>
      </w:r>
    </w:p>
    <w:p>
      <w:pPr>
        <w:tabs>
          <w:tab w:val="clear" w:pos="426"/>
        </w:tabs>
      </w:pPr>
      <w:r>
        <w:t>52.4</w:t>
      </w:r>
      <w:r>
        <w:rPr>
          <w:rFonts w:hint="eastAsia"/>
        </w:rPr>
        <w:t>采购代理机构原则上在质疑受理之日起</w:t>
      </w:r>
      <w:r>
        <w:t>7</w:t>
      </w:r>
      <w:r>
        <w:rPr>
          <w:rFonts w:hint="eastAsia"/>
        </w:rPr>
        <w:t>个工作日内书面答复质疑供应商。答复函以直接领取、传真或邮寄方式送达。</w:t>
      </w:r>
    </w:p>
    <w:p>
      <w:pPr>
        <w:tabs>
          <w:tab w:val="clear" w:pos="426"/>
        </w:tabs>
      </w:pPr>
      <w:r>
        <w:t>52.5</w:t>
      </w:r>
      <w:r>
        <w:rPr>
          <w:rFonts w:hint="eastAsia"/>
        </w:rPr>
        <w:t>供应商向采购代理机构提出质疑后，在质疑处理期限内，不得同时向其他方面提起同一质疑。质疑供应商如已就同一事项提起投诉、提请行政复议或诉讼的，质疑程序终止。</w:t>
      </w:r>
    </w:p>
    <w:p>
      <w:pPr>
        <w:tabs>
          <w:tab w:val="clear" w:pos="426"/>
        </w:tabs>
      </w:pPr>
      <w:r>
        <w:t>53.</w:t>
      </w:r>
      <w:r>
        <w:rPr>
          <w:rFonts w:hint="eastAsia"/>
        </w:rPr>
        <w:t>相关责任与义务</w:t>
      </w:r>
    </w:p>
    <w:p>
      <w:pPr>
        <w:tabs>
          <w:tab w:val="clear" w:pos="426"/>
        </w:tabs>
      </w:pPr>
      <w:r>
        <w:t>53.1</w:t>
      </w:r>
      <w:r>
        <w:rPr>
          <w:rFonts w:hint="eastAsia"/>
        </w:rPr>
        <w:t>采购人、评标专家和相关供应商等当事人应积极配合采购代理机构进行质疑调查，如实反映情况，及时提供证明材料。</w:t>
      </w:r>
    </w:p>
    <w:p>
      <w:pPr>
        <w:tabs>
          <w:tab w:val="clear" w:pos="426"/>
        </w:tabs>
      </w:pPr>
      <w:r>
        <w:t>53.2</w:t>
      </w:r>
      <w:r>
        <w:rPr>
          <w:rFonts w:hint="eastAsia"/>
        </w:rPr>
        <w:t>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pPr>
      <w:r>
        <w:t>53.2.1</w:t>
      </w:r>
      <w:r>
        <w:rPr>
          <w:rFonts w:hint="eastAsia"/>
        </w:rPr>
        <w:t>捏造事实或提供虚假证明材料的；</w:t>
      </w:r>
    </w:p>
    <w:p>
      <w:pPr>
        <w:tabs>
          <w:tab w:val="clear" w:pos="426"/>
        </w:tabs>
      </w:pPr>
      <w:r>
        <w:t>53.2.2</w:t>
      </w:r>
      <w:r>
        <w:rPr>
          <w:rFonts w:hint="eastAsia"/>
        </w:rPr>
        <w:t>假冒他人名义进行质疑的；</w:t>
      </w:r>
    </w:p>
    <w:p>
      <w:pPr>
        <w:tabs>
          <w:tab w:val="clear" w:pos="426"/>
        </w:tabs>
      </w:pPr>
      <w:r>
        <w:t>53.2.3</w:t>
      </w:r>
      <w:r>
        <w:rPr>
          <w:rFonts w:hint="eastAsia"/>
        </w:rPr>
        <w:t>拒不配合进行有关调查、情节严重的。</w:t>
      </w:r>
    </w:p>
    <w:p>
      <w:pPr>
        <w:tabs>
          <w:tab w:val="clear" w:pos="426"/>
        </w:tabs>
        <w:rPr>
          <w:b/>
        </w:rPr>
      </w:pPr>
      <w:r>
        <w:t>54</w:t>
      </w:r>
      <w:r>
        <w:rPr>
          <w:rFonts w:hint="eastAsia"/>
        </w:rPr>
        <w:t>．</w:t>
      </w:r>
      <w:r>
        <w:t xml:space="preserve">  </w:t>
      </w:r>
      <w:r>
        <w:rPr>
          <w:rFonts w:hint="eastAsia"/>
          <w:b/>
        </w:rPr>
        <w:t>其他</w:t>
      </w:r>
    </w:p>
    <w:p>
      <w:pPr>
        <w:tabs>
          <w:tab w:val="clear" w:pos="426"/>
        </w:tabs>
      </w:pPr>
      <w:r>
        <w:t xml:space="preserve">54.1  </w:t>
      </w:r>
      <w:r>
        <w:rPr>
          <w:rFonts w:hint="eastAsia"/>
        </w:rPr>
        <w:t>本招标文件的解释权归采购代理机构所有，采购代理机构在征得采购人或相关主管部门同意后，有权在法律允许范围内调整本次招标活动的细节及保留最终解释权。</w:t>
      </w:r>
    </w:p>
    <w:p>
      <w:pPr>
        <w:tabs>
          <w:tab w:val="clear" w:pos="426"/>
        </w:tabs>
      </w:pPr>
      <w:r>
        <w:t xml:space="preserve">54.2 </w:t>
      </w:r>
      <w:r>
        <w:rPr>
          <w:rFonts w:hint="eastAsia"/>
        </w:rPr>
        <w:t>采购代理机构向投标供应商提供的资料和数据，是采购代理机构现有的能供投标供应商利用的资料，采购代理机构对投标供应商由此而作出的推论、理解和结论概不负责。</w:t>
      </w:r>
    </w:p>
    <w:p>
      <w:pPr>
        <w:tabs>
          <w:tab w:val="clear" w:pos="426"/>
        </w:tabs>
      </w:pPr>
      <w:r>
        <w:t xml:space="preserve">54.3 </w:t>
      </w:r>
      <w:r>
        <w:rPr>
          <w:rFonts w:hint="eastAsia"/>
        </w:rPr>
        <w:t>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pPr>
      <w:r>
        <w:t xml:space="preserve">54.4 </w:t>
      </w:r>
      <w:r>
        <w:rPr>
          <w:rFonts w:hint="eastAsia"/>
        </w:rPr>
        <w:t>中标无效的，发出的中标通知书和签订的合同自始没有法律约束力，但不影响合同中存在的有关解决争议方法的条款的效力。</w:t>
      </w:r>
    </w:p>
    <w:p>
      <w:pPr>
        <w:tabs>
          <w:tab w:val="clear" w:pos="426"/>
        </w:tabs>
      </w:pPr>
      <w:r>
        <w:t xml:space="preserve">54.5 </w:t>
      </w:r>
      <w:r>
        <w:rPr>
          <w:rFonts w:hint="eastAsia"/>
        </w:rPr>
        <w:t>本招标文件所有的附件与本招标文件具有同等效力。</w:t>
      </w:r>
    </w:p>
    <w:p>
      <w:pPr>
        <w:tabs>
          <w:tab w:val="clear" w:pos="426"/>
        </w:tabs>
      </w:pPr>
    </w:p>
    <w:p>
      <w:pPr>
        <w:shd w:val="clear" w:color="auto" w:fill="auto"/>
        <w:tabs>
          <w:tab w:val="clear" w:pos="426"/>
        </w:tabs>
        <w:adjustRightInd/>
        <w:snapToGrid/>
        <w:spacing w:line="240" w:lineRule="auto"/>
        <w:jc w:val="left"/>
      </w:pPr>
      <w:r>
        <w:br w:type="page"/>
      </w:r>
    </w:p>
    <w:p>
      <w:pPr>
        <w:pStyle w:val="81"/>
        <w:tabs>
          <w:tab w:val="clear" w:pos="426"/>
        </w:tabs>
        <w:ind w:firstLine="727"/>
      </w:pPr>
      <w:bookmarkStart w:id="183" w:name="_Toc120892192"/>
      <w:bookmarkStart w:id="184" w:name="_Toc3627284"/>
      <w:bookmarkStart w:id="185" w:name="_Toc14427264"/>
      <w:r>
        <w:rPr>
          <w:rFonts w:hint="eastAsia"/>
        </w:rPr>
        <w:t>招标代理服务取费说明</w:t>
      </w:r>
      <w:bookmarkEnd w:id="183"/>
      <w:bookmarkEnd w:id="184"/>
      <w:bookmarkEnd w:id="185"/>
    </w:p>
    <w:p>
      <w:pPr>
        <w:tabs>
          <w:tab w:val="clear" w:pos="426"/>
        </w:tabs>
        <w:ind w:firstLine="440" w:firstLineChars="200"/>
        <w:rPr>
          <w:sz w:val="22"/>
        </w:rPr>
      </w:pPr>
    </w:p>
    <w:p>
      <w:pPr>
        <w:tabs>
          <w:tab w:val="clear" w:pos="426"/>
        </w:tabs>
        <w:ind w:firstLine="440" w:firstLineChars="200"/>
        <w:rPr>
          <w:sz w:val="22"/>
        </w:rPr>
      </w:pPr>
      <w:r>
        <w:rPr>
          <w:rFonts w:hint="eastAsia"/>
          <w:sz w:val="22"/>
        </w:rPr>
        <w:t>招标代理服务收费以各包预算金额为计算基数，</w:t>
      </w:r>
      <w:r>
        <w:rPr>
          <w:rFonts w:hint="eastAsia"/>
        </w:rPr>
        <w:t>按《招标代理服务收费管理暂行办法》的通知（计价格〔</w:t>
      </w:r>
      <w:r>
        <w:t>2002</w:t>
      </w:r>
      <w:r>
        <w:rPr>
          <w:rFonts w:hint="eastAsia"/>
        </w:rPr>
        <w:t>〕</w:t>
      </w:r>
      <w:r>
        <w:t>1980</w:t>
      </w:r>
      <w:r>
        <w:rPr>
          <w:rFonts w:hint="eastAsia"/>
        </w:rPr>
        <w:t>号）和国家发展改革委《关于降低部分建设项目收费标准规范收费行为等有关问题的通知》（发改价格〔</w:t>
      </w:r>
      <w:r>
        <w:t>2011</w:t>
      </w:r>
      <w:r>
        <w:rPr>
          <w:rFonts w:hint="eastAsia"/>
        </w:rPr>
        <w:t>〕</w:t>
      </w:r>
      <w:r>
        <w:t>534</w:t>
      </w:r>
      <w:r>
        <w:rPr>
          <w:rFonts w:hint="eastAsia"/>
        </w:rPr>
        <w:t>号）规定的招标代理服务费收费办法，按差额定率累进法计算，分别向对应包号的中标供应商收取。低于人民币</w:t>
      </w:r>
      <w:r>
        <w:t>5000</w:t>
      </w:r>
      <w:r>
        <w:rPr>
          <w:rFonts w:hint="eastAsia"/>
        </w:rPr>
        <w:t>元的，按最低人民币</w:t>
      </w:r>
      <w:r>
        <w:t>5000</w:t>
      </w:r>
      <w:r>
        <w:rPr>
          <w:rFonts w:hint="eastAsia"/>
        </w:rPr>
        <w:t>元收费。</w:t>
      </w:r>
      <w:r>
        <w:rPr>
          <w:rFonts w:hint="eastAsia"/>
          <w:sz w:val="22"/>
        </w:rPr>
        <w:t>收费标准如下表所列：</w:t>
      </w:r>
      <w:r>
        <w:rPr>
          <w:sz w:val="22"/>
        </w:rPr>
        <w:t xml:space="preserve"> </w:t>
      </w:r>
    </w:p>
    <w:p>
      <w:pPr>
        <w:tabs>
          <w:tab w:val="clear" w:pos="426"/>
        </w:tabs>
        <w:ind w:firstLine="440" w:firstLineChars="200"/>
        <w:rPr>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szCs w:val="21"/>
              </w:rPr>
            </w:pPr>
            <w:r>
              <w:rPr>
                <w:rFonts w:hint="eastAsia"/>
                <w:szCs w:val="21"/>
              </w:rPr>
              <w:t>服务类型</w:t>
            </w:r>
          </w:p>
          <w:p>
            <w:pPr>
              <w:tabs>
                <w:tab w:val="clear" w:pos="426"/>
              </w:tabs>
              <w:spacing w:line="300" w:lineRule="auto"/>
              <w:jc w:val="center"/>
              <w:rPr>
                <w:szCs w:val="21"/>
              </w:rPr>
            </w:pPr>
            <w:r>
              <w:rPr>
                <w:rFonts w:hint="eastAsia"/>
                <w:szCs w:val="21"/>
              </w:rPr>
              <w:t>费率</w:t>
            </w:r>
          </w:p>
          <w:p>
            <w:pPr>
              <w:tabs>
                <w:tab w:val="clear" w:pos="426"/>
              </w:tabs>
              <w:spacing w:line="300" w:lineRule="auto"/>
              <w:rPr>
                <w:szCs w:val="21"/>
              </w:rPr>
            </w:pPr>
            <w:r>
              <w:rPr>
                <w:rFonts w:hint="eastAsia"/>
                <w:szCs w:val="21"/>
              </w:rPr>
              <w:t>中标金额</w:t>
            </w:r>
          </w:p>
        </w:tc>
        <w:tc>
          <w:tcPr>
            <w:tcW w:w="1845" w:type="dxa"/>
            <w:vAlign w:val="center"/>
          </w:tcPr>
          <w:p>
            <w:pPr>
              <w:spacing w:line="240" w:lineRule="auto"/>
              <w:jc w:val="center"/>
              <w:rPr>
                <w:szCs w:val="21"/>
              </w:rPr>
            </w:pPr>
            <w:r>
              <w:rPr>
                <w:rFonts w:hint="eastAsia"/>
                <w:szCs w:val="21"/>
              </w:rPr>
              <w:t>货物采购</w:t>
            </w:r>
          </w:p>
        </w:tc>
        <w:tc>
          <w:tcPr>
            <w:tcW w:w="1845" w:type="dxa"/>
            <w:vAlign w:val="center"/>
          </w:tcPr>
          <w:p>
            <w:pPr>
              <w:spacing w:line="240" w:lineRule="auto"/>
              <w:jc w:val="center"/>
              <w:rPr>
                <w:szCs w:val="21"/>
              </w:rPr>
            </w:pPr>
            <w:r>
              <w:rPr>
                <w:rFonts w:hint="eastAsia"/>
                <w:szCs w:val="21"/>
              </w:rPr>
              <w:t>服务采购</w:t>
            </w:r>
          </w:p>
        </w:tc>
        <w:tc>
          <w:tcPr>
            <w:tcW w:w="1846" w:type="dxa"/>
            <w:vAlign w:val="center"/>
          </w:tcPr>
          <w:p>
            <w:pPr>
              <w:spacing w:line="240" w:lineRule="auto"/>
              <w:jc w:val="center"/>
              <w:rPr>
                <w:szCs w:val="21"/>
              </w:rPr>
            </w:pPr>
            <w:r>
              <w:rPr>
                <w:rFonts w:hint="eastAsia"/>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szCs w:val="21"/>
              </w:rPr>
            </w:pPr>
            <w:r>
              <w:rPr>
                <w:szCs w:val="21"/>
              </w:rPr>
              <w:t>100</w:t>
            </w:r>
            <w:r>
              <w:rPr>
                <w:rFonts w:hint="eastAsia"/>
                <w:szCs w:val="21"/>
              </w:rPr>
              <w:t>万元以下</w:t>
            </w:r>
          </w:p>
        </w:tc>
        <w:tc>
          <w:tcPr>
            <w:tcW w:w="1845" w:type="dxa"/>
            <w:vAlign w:val="center"/>
          </w:tcPr>
          <w:p>
            <w:pPr>
              <w:spacing w:line="240" w:lineRule="auto"/>
              <w:jc w:val="center"/>
              <w:rPr>
                <w:szCs w:val="21"/>
              </w:rPr>
            </w:pPr>
            <w:r>
              <w:rPr>
                <w:szCs w:val="21"/>
              </w:rPr>
              <w:t>1.500%</w:t>
            </w:r>
          </w:p>
        </w:tc>
        <w:tc>
          <w:tcPr>
            <w:tcW w:w="1845" w:type="dxa"/>
            <w:vAlign w:val="center"/>
          </w:tcPr>
          <w:p>
            <w:pPr>
              <w:spacing w:line="240" w:lineRule="auto"/>
              <w:jc w:val="center"/>
              <w:rPr>
                <w:szCs w:val="21"/>
              </w:rPr>
            </w:pPr>
            <w:r>
              <w:rPr>
                <w:szCs w:val="21"/>
              </w:rPr>
              <w:t>1.500%</w:t>
            </w:r>
          </w:p>
        </w:tc>
        <w:tc>
          <w:tcPr>
            <w:tcW w:w="1846" w:type="dxa"/>
            <w:vAlign w:val="center"/>
          </w:tcPr>
          <w:p>
            <w:pPr>
              <w:spacing w:line="240" w:lineRule="auto"/>
              <w:jc w:val="center"/>
              <w:rPr>
                <w:szCs w:val="21"/>
              </w:rPr>
            </w:pPr>
            <w:r>
              <w:rPr>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100</w:t>
            </w:r>
            <w:r>
              <w:rPr>
                <w:rFonts w:hint="eastAsia"/>
                <w:szCs w:val="21"/>
              </w:rPr>
              <w:t>万元（含）</w:t>
            </w:r>
            <w:r>
              <w:rPr>
                <w:szCs w:val="21"/>
              </w:rPr>
              <w:t>-500</w:t>
            </w:r>
            <w:r>
              <w:rPr>
                <w:rFonts w:hint="eastAsia"/>
                <w:szCs w:val="21"/>
              </w:rPr>
              <w:t>万元</w:t>
            </w:r>
          </w:p>
        </w:tc>
        <w:tc>
          <w:tcPr>
            <w:tcW w:w="1845" w:type="dxa"/>
            <w:vAlign w:val="center"/>
          </w:tcPr>
          <w:p>
            <w:pPr>
              <w:spacing w:line="240" w:lineRule="auto"/>
              <w:jc w:val="center"/>
              <w:rPr>
                <w:szCs w:val="21"/>
              </w:rPr>
            </w:pPr>
            <w:r>
              <w:rPr>
                <w:szCs w:val="21"/>
              </w:rPr>
              <w:t>1.100%</w:t>
            </w:r>
          </w:p>
        </w:tc>
        <w:tc>
          <w:tcPr>
            <w:tcW w:w="1845" w:type="dxa"/>
            <w:vAlign w:val="center"/>
          </w:tcPr>
          <w:p>
            <w:pPr>
              <w:spacing w:line="240" w:lineRule="auto"/>
              <w:jc w:val="center"/>
              <w:rPr>
                <w:szCs w:val="21"/>
              </w:rPr>
            </w:pPr>
            <w:r>
              <w:rPr>
                <w:szCs w:val="21"/>
              </w:rPr>
              <w:t>0.800%</w:t>
            </w:r>
          </w:p>
        </w:tc>
        <w:tc>
          <w:tcPr>
            <w:tcW w:w="1846" w:type="dxa"/>
            <w:vAlign w:val="center"/>
          </w:tcPr>
          <w:p>
            <w:pPr>
              <w:spacing w:line="240" w:lineRule="auto"/>
              <w:jc w:val="center"/>
              <w:rPr>
                <w:szCs w:val="21"/>
              </w:rPr>
            </w:pPr>
            <w:r>
              <w:rPr>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500</w:t>
            </w:r>
            <w:r>
              <w:rPr>
                <w:rFonts w:hint="eastAsia"/>
                <w:szCs w:val="21"/>
              </w:rPr>
              <w:t>万元（含）</w:t>
            </w:r>
            <w:r>
              <w:rPr>
                <w:szCs w:val="21"/>
              </w:rPr>
              <w:t>-1000</w:t>
            </w:r>
            <w:r>
              <w:rPr>
                <w:rFonts w:hint="eastAsia"/>
                <w:szCs w:val="21"/>
              </w:rPr>
              <w:t>万元</w:t>
            </w:r>
          </w:p>
        </w:tc>
        <w:tc>
          <w:tcPr>
            <w:tcW w:w="1845" w:type="dxa"/>
            <w:vAlign w:val="center"/>
          </w:tcPr>
          <w:p>
            <w:pPr>
              <w:spacing w:line="240" w:lineRule="auto"/>
              <w:jc w:val="center"/>
              <w:rPr>
                <w:szCs w:val="21"/>
              </w:rPr>
            </w:pPr>
            <w:r>
              <w:rPr>
                <w:szCs w:val="21"/>
              </w:rPr>
              <w:t>0.800%</w:t>
            </w:r>
          </w:p>
        </w:tc>
        <w:tc>
          <w:tcPr>
            <w:tcW w:w="1845" w:type="dxa"/>
            <w:vAlign w:val="center"/>
          </w:tcPr>
          <w:p>
            <w:pPr>
              <w:spacing w:line="240" w:lineRule="auto"/>
              <w:jc w:val="center"/>
              <w:rPr>
                <w:szCs w:val="21"/>
              </w:rPr>
            </w:pPr>
            <w:r>
              <w:rPr>
                <w:szCs w:val="21"/>
              </w:rPr>
              <w:t>0.450%</w:t>
            </w:r>
          </w:p>
        </w:tc>
        <w:tc>
          <w:tcPr>
            <w:tcW w:w="1846" w:type="dxa"/>
            <w:vAlign w:val="center"/>
          </w:tcPr>
          <w:p>
            <w:pPr>
              <w:spacing w:line="240" w:lineRule="auto"/>
              <w:jc w:val="center"/>
              <w:rPr>
                <w:szCs w:val="21"/>
              </w:rPr>
            </w:pPr>
            <w:r>
              <w:rPr>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1000</w:t>
            </w:r>
            <w:r>
              <w:rPr>
                <w:rFonts w:hint="eastAsia"/>
                <w:szCs w:val="21"/>
              </w:rPr>
              <w:t>万元（含）</w:t>
            </w:r>
            <w:r>
              <w:rPr>
                <w:szCs w:val="21"/>
              </w:rPr>
              <w:t>-5000</w:t>
            </w:r>
            <w:r>
              <w:rPr>
                <w:rFonts w:hint="eastAsia"/>
                <w:szCs w:val="21"/>
              </w:rPr>
              <w:t>万元</w:t>
            </w:r>
          </w:p>
        </w:tc>
        <w:tc>
          <w:tcPr>
            <w:tcW w:w="1845" w:type="dxa"/>
            <w:vAlign w:val="center"/>
          </w:tcPr>
          <w:p>
            <w:pPr>
              <w:spacing w:line="240" w:lineRule="auto"/>
              <w:jc w:val="center"/>
              <w:rPr>
                <w:szCs w:val="21"/>
              </w:rPr>
            </w:pPr>
            <w:r>
              <w:rPr>
                <w:szCs w:val="21"/>
              </w:rPr>
              <w:t>0.500%</w:t>
            </w:r>
          </w:p>
        </w:tc>
        <w:tc>
          <w:tcPr>
            <w:tcW w:w="1845" w:type="dxa"/>
            <w:vAlign w:val="center"/>
          </w:tcPr>
          <w:p>
            <w:pPr>
              <w:spacing w:line="240" w:lineRule="auto"/>
              <w:jc w:val="center"/>
              <w:rPr>
                <w:szCs w:val="21"/>
              </w:rPr>
            </w:pPr>
            <w:r>
              <w:rPr>
                <w:szCs w:val="21"/>
              </w:rPr>
              <w:t>0.250%</w:t>
            </w:r>
          </w:p>
        </w:tc>
        <w:tc>
          <w:tcPr>
            <w:tcW w:w="1846" w:type="dxa"/>
            <w:vAlign w:val="center"/>
          </w:tcPr>
          <w:p>
            <w:pPr>
              <w:spacing w:line="240" w:lineRule="auto"/>
              <w:jc w:val="center"/>
              <w:rPr>
                <w:szCs w:val="21"/>
              </w:rPr>
            </w:pPr>
            <w:r>
              <w:rPr>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5000</w:t>
            </w:r>
            <w:r>
              <w:rPr>
                <w:rFonts w:hint="eastAsia"/>
                <w:szCs w:val="21"/>
              </w:rPr>
              <w:t>万元（含）</w:t>
            </w:r>
            <w:r>
              <w:rPr>
                <w:szCs w:val="21"/>
              </w:rPr>
              <w:t>-1</w:t>
            </w:r>
            <w:r>
              <w:rPr>
                <w:rFonts w:hint="eastAsia"/>
                <w:szCs w:val="21"/>
              </w:rPr>
              <w:t>亿元</w:t>
            </w:r>
          </w:p>
        </w:tc>
        <w:tc>
          <w:tcPr>
            <w:tcW w:w="1845" w:type="dxa"/>
            <w:vAlign w:val="center"/>
          </w:tcPr>
          <w:p>
            <w:pPr>
              <w:spacing w:line="240" w:lineRule="auto"/>
              <w:jc w:val="center"/>
              <w:rPr>
                <w:szCs w:val="21"/>
              </w:rPr>
            </w:pPr>
            <w:r>
              <w:rPr>
                <w:szCs w:val="21"/>
              </w:rPr>
              <w:t>0.250%</w:t>
            </w:r>
          </w:p>
        </w:tc>
        <w:tc>
          <w:tcPr>
            <w:tcW w:w="1845" w:type="dxa"/>
            <w:vAlign w:val="center"/>
          </w:tcPr>
          <w:p>
            <w:pPr>
              <w:spacing w:line="240" w:lineRule="auto"/>
              <w:jc w:val="center"/>
              <w:rPr>
                <w:szCs w:val="21"/>
              </w:rPr>
            </w:pPr>
            <w:r>
              <w:rPr>
                <w:szCs w:val="21"/>
              </w:rPr>
              <w:t>0.100%</w:t>
            </w:r>
          </w:p>
        </w:tc>
        <w:tc>
          <w:tcPr>
            <w:tcW w:w="1846" w:type="dxa"/>
            <w:vAlign w:val="center"/>
          </w:tcPr>
          <w:p>
            <w:pPr>
              <w:spacing w:line="240" w:lineRule="auto"/>
              <w:jc w:val="center"/>
              <w:rPr>
                <w:szCs w:val="21"/>
              </w:rPr>
            </w:pPr>
            <w:r>
              <w:rPr>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1</w:t>
            </w:r>
            <w:r>
              <w:rPr>
                <w:rFonts w:hint="eastAsia"/>
                <w:szCs w:val="21"/>
              </w:rPr>
              <w:t>亿元（含）</w:t>
            </w:r>
            <w:r>
              <w:rPr>
                <w:szCs w:val="21"/>
              </w:rPr>
              <w:t>-5</w:t>
            </w:r>
            <w:r>
              <w:rPr>
                <w:rFonts w:hint="eastAsia"/>
                <w:szCs w:val="21"/>
              </w:rPr>
              <w:t>亿元</w:t>
            </w:r>
          </w:p>
        </w:tc>
        <w:tc>
          <w:tcPr>
            <w:tcW w:w="1845" w:type="dxa"/>
            <w:vAlign w:val="center"/>
          </w:tcPr>
          <w:p>
            <w:pPr>
              <w:spacing w:line="240" w:lineRule="auto"/>
              <w:jc w:val="center"/>
              <w:rPr>
                <w:szCs w:val="21"/>
              </w:rPr>
            </w:pPr>
            <w:r>
              <w:rPr>
                <w:szCs w:val="21"/>
              </w:rPr>
              <w:t>0.050%</w:t>
            </w:r>
          </w:p>
        </w:tc>
        <w:tc>
          <w:tcPr>
            <w:tcW w:w="1845" w:type="dxa"/>
            <w:vAlign w:val="center"/>
          </w:tcPr>
          <w:p>
            <w:pPr>
              <w:spacing w:line="240" w:lineRule="auto"/>
              <w:jc w:val="center"/>
              <w:rPr>
                <w:szCs w:val="21"/>
              </w:rPr>
            </w:pPr>
            <w:r>
              <w:rPr>
                <w:szCs w:val="21"/>
              </w:rPr>
              <w:t>0.050%</w:t>
            </w:r>
          </w:p>
        </w:tc>
        <w:tc>
          <w:tcPr>
            <w:tcW w:w="1846" w:type="dxa"/>
            <w:vAlign w:val="center"/>
          </w:tcPr>
          <w:p>
            <w:pPr>
              <w:spacing w:line="240" w:lineRule="auto"/>
              <w:jc w:val="center"/>
              <w:rPr>
                <w:szCs w:val="21"/>
              </w:rPr>
            </w:pPr>
            <w:r>
              <w:rPr>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5</w:t>
            </w:r>
            <w:r>
              <w:rPr>
                <w:rFonts w:hint="eastAsia"/>
                <w:szCs w:val="21"/>
              </w:rPr>
              <w:t>亿元（含）</w:t>
            </w:r>
            <w:r>
              <w:rPr>
                <w:szCs w:val="21"/>
              </w:rPr>
              <w:t>-10</w:t>
            </w:r>
            <w:r>
              <w:rPr>
                <w:rFonts w:hint="eastAsia"/>
                <w:szCs w:val="21"/>
              </w:rPr>
              <w:t>亿元</w:t>
            </w:r>
          </w:p>
        </w:tc>
        <w:tc>
          <w:tcPr>
            <w:tcW w:w="1845" w:type="dxa"/>
            <w:vAlign w:val="center"/>
          </w:tcPr>
          <w:p>
            <w:pPr>
              <w:spacing w:line="240" w:lineRule="auto"/>
              <w:jc w:val="center"/>
              <w:rPr>
                <w:szCs w:val="21"/>
              </w:rPr>
            </w:pPr>
            <w:r>
              <w:rPr>
                <w:szCs w:val="21"/>
              </w:rPr>
              <w:t>0.035%</w:t>
            </w:r>
          </w:p>
        </w:tc>
        <w:tc>
          <w:tcPr>
            <w:tcW w:w="1845" w:type="dxa"/>
            <w:vAlign w:val="center"/>
          </w:tcPr>
          <w:p>
            <w:pPr>
              <w:spacing w:line="240" w:lineRule="auto"/>
              <w:jc w:val="center"/>
              <w:rPr>
                <w:szCs w:val="21"/>
              </w:rPr>
            </w:pPr>
            <w:r>
              <w:rPr>
                <w:szCs w:val="21"/>
              </w:rPr>
              <w:t>0.035%</w:t>
            </w:r>
          </w:p>
        </w:tc>
        <w:tc>
          <w:tcPr>
            <w:tcW w:w="1846" w:type="dxa"/>
            <w:vAlign w:val="center"/>
          </w:tcPr>
          <w:p>
            <w:pPr>
              <w:spacing w:line="240" w:lineRule="auto"/>
              <w:jc w:val="center"/>
              <w:rPr>
                <w:szCs w:val="21"/>
              </w:rPr>
            </w:pPr>
            <w:r>
              <w:rPr>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10</w:t>
            </w:r>
            <w:r>
              <w:rPr>
                <w:rFonts w:hint="eastAsia"/>
                <w:szCs w:val="21"/>
              </w:rPr>
              <w:t>亿元（含）</w:t>
            </w:r>
            <w:r>
              <w:rPr>
                <w:szCs w:val="21"/>
              </w:rPr>
              <w:t>-50</w:t>
            </w:r>
            <w:r>
              <w:rPr>
                <w:rFonts w:hint="eastAsia"/>
                <w:szCs w:val="21"/>
              </w:rPr>
              <w:t>亿元</w:t>
            </w:r>
          </w:p>
        </w:tc>
        <w:tc>
          <w:tcPr>
            <w:tcW w:w="1845" w:type="dxa"/>
            <w:vAlign w:val="center"/>
          </w:tcPr>
          <w:p>
            <w:pPr>
              <w:spacing w:line="240" w:lineRule="auto"/>
              <w:jc w:val="center"/>
              <w:rPr>
                <w:szCs w:val="21"/>
              </w:rPr>
            </w:pPr>
            <w:r>
              <w:rPr>
                <w:szCs w:val="21"/>
              </w:rPr>
              <w:t>0.008%</w:t>
            </w:r>
          </w:p>
        </w:tc>
        <w:tc>
          <w:tcPr>
            <w:tcW w:w="1845" w:type="dxa"/>
            <w:vAlign w:val="center"/>
          </w:tcPr>
          <w:p>
            <w:pPr>
              <w:spacing w:line="240" w:lineRule="auto"/>
              <w:jc w:val="center"/>
              <w:rPr>
                <w:szCs w:val="21"/>
              </w:rPr>
            </w:pPr>
            <w:r>
              <w:rPr>
                <w:szCs w:val="21"/>
              </w:rPr>
              <w:t>0.008%</w:t>
            </w:r>
          </w:p>
        </w:tc>
        <w:tc>
          <w:tcPr>
            <w:tcW w:w="1846" w:type="dxa"/>
            <w:vAlign w:val="center"/>
          </w:tcPr>
          <w:p>
            <w:pPr>
              <w:spacing w:line="240" w:lineRule="auto"/>
              <w:jc w:val="center"/>
              <w:rPr>
                <w:szCs w:val="21"/>
              </w:rPr>
            </w:pPr>
            <w:r>
              <w:rPr>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50</w:t>
            </w:r>
            <w:r>
              <w:rPr>
                <w:rFonts w:hint="eastAsia"/>
                <w:szCs w:val="21"/>
              </w:rPr>
              <w:t>亿元（含）</w:t>
            </w:r>
            <w:r>
              <w:rPr>
                <w:szCs w:val="21"/>
              </w:rPr>
              <w:t>-100</w:t>
            </w:r>
            <w:r>
              <w:rPr>
                <w:rFonts w:hint="eastAsia"/>
                <w:szCs w:val="21"/>
              </w:rPr>
              <w:t>亿元</w:t>
            </w:r>
          </w:p>
        </w:tc>
        <w:tc>
          <w:tcPr>
            <w:tcW w:w="1845" w:type="dxa"/>
            <w:vAlign w:val="center"/>
          </w:tcPr>
          <w:p>
            <w:pPr>
              <w:spacing w:line="240" w:lineRule="auto"/>
              <w:jc w:val="center"/>
              <w:rPr>
                <w:szCs w:val="21"/>
              </w:rPr>
            </w:pPr>
            <w:r>
              <w:rPr>
                <w:szCs w:val="21"/>
              </w:rPr>
              <w:t>0.006%</w:t>
            </w:r>
          </w:p>
        </w:tc>
        <w:tc>
          <w:tcPr>
            <w:tcW w:w="1845" w:type="dxa"/>
            <w:vAlign w:val="center"/>
          </w:tcPr>
          <w:p>
            <w:pPr>
              <w:spacing w:line="240" w:lineRule="auto"/>
              <w:jc w:val="center"/>
              <w:rPr>
                <w:szCs w:val="21"/>
              </w:rPr>
            </w:pPr>
            <w:r>
              <w:rPr>
                <w:szCs w:val="21"/>
              </w:rPr>
              <w:t>0.006%</w:t>
            </w:r>
          </w:p>
        </w:tc>
        <w:tc>
          <w:tcPr>
            <w:tcW w:w="1846" w:type="dxa"/>
            <w:vAlign w:val="center"/>
          </w:tcPr>
          <w:p>
            <w:pPr>
              <w:spacing w:line="240" w:lineRule="auto"/>
              <w:jc w:val="center"/>
              <w:rPr>
                <w:szCs w:val="21"/>
              </w:rPr>
            </w:pPr>
            <w:r>
              <w:rPr>
                <w:szCs w:val="21"/>
              </w:rPr>
              <w:t>0.006%</w:t>
            </w:r>
          </w:p>
        </w:tc>
      </w:tr>
    </w:tbl>
    <w:p>
      <w:pPr>
        <w:tabs>
          <w:tab w:val="clear" w:pos="426"/>
        </w:tabs>
        <w:ind w:left="424" w:leftChars="202" w:firstLine="440" w:firstLineChars="200"/>
        <w:rPr>
          <w:sz w:val="22"/>
        </w:rPr>
      </w:pPr>
      <w:r>
        <w:rPr>
          <w:rFonts w:hint="eastAsia"/>
          <w:sz w:val="22"/>
        </w:rPr>
        <w:t>以某</w:t>
      </w:r>
      <w:r>
        <w:rPr>
          <w:sz w:val="22"/>
        </w:rPr>
        <w:t>5000</w:t>
      </w:r>
      <w:r>
        <w:rPr>
          <w:rFonts w:hint="eastAsia"/>
          <w:sz w:val="22"/>
        </w:rPr>
        <w:t>万项目服务类招标为例：</w:t>
      </w:r>
    </w:p>
    <w:p>
      <w:pPr>
        <w:tabs>
          <w:tab w:val="clear" w:pos="426"/>
        </w:tabs>
        <w:ind w:left="424" w:leftChars="202" w:firstLine="440" w:firstLineChars="200"/>
        <w:rPr>
          <w:sz w:val="22"/>
        </w:rPr>
      </w:pPr>
      <w:r>
        <w:rPr>
          <w:rFonts w:hint="eastAsia"/>
          <w:sz w:val="22"/>
        </w:rPr>
        <w:t>计算基准价为中标价</w:t>
      </w:r>
      <w:r>
        <w:rPr>
          <w:sz w:val="22"/>
        </w:rPr>
        <w:t>5000</w:t>
      </w:r>
      <w:r>
        <w:rPr>
          <w:rFonts w:hint="eastAsia"/>
          <w:sz w:val="22"/>
        </w:rPr>
        <w:t>万元，则招标代理服务费计算为：</w:t>
      </w:r>
    </w:p>
    <w:p>
      <w:pPr>
        <w:tabs>
          <w:tab w:val="clear" w:pos="426"/>
        </w:tabs>
        <w:ind w:left="424" w:leftChars="202" w:firstLine="440" w:firstLineChars="200"/>
        <w:rPr>
          <w:sz w:val="22"/>
        </w:rPr>
      </w:pPr>
      <w:r>
        <w:rPr>
          <w:sz w:val="22"/>
        </w:rPr>
        <w:t>100</w:t>
      </w:r>
      <w:r>
        <w:rPr>
          <w:rFonts w:hint="eastAsia"/>
          <w:sz w:val="22"/>
        </w:rPr>
        <w:t>万元×</w:t>
      </w:r>
      <w:r>
        <w:rPr>
          <w:sz w:val="22"/>
        </w:rPr>
        <w:t>1.5%=1.5</w:t>
      </w:r>
      <w:r>
        <w:rPr>
          <w:rFonts w:hint="eastAsia"/>
          <w:sz w:val="22"/>
        </w:rPr>
        <w:t>万元</w:t>
      </w:r>
      <w:r>
        <w:rPr>
          <w:sz w:val="22"/>
        </w:rPr>
        <w:t xml:space="preserve">   </w:t>
      </w:r>
    </w:p>
    <w:p>
      <w:pPr>
        <w:tabs>
          <w:tab w:val="clear" w:pos="426"/>
        </w:tabs>
        <w:ind w:left="424" w:leftChars="202" w:firstLine="440" w:firstLineChars="200"/>
        <w:rPr>
          <w:sz w:val="22"/>
        </w:rPr>
      </w:pPr>
      <w:r>
        <w:rPr>
          <w:rFonts w:hint="eastAsia"/>
          <w:sz w:val="22"/>
        </w:rPr>
        <w:t>（</w:t>
      </w:r>
      <w:r>
        <w:rPr>
          <w:sz w:val="22"/>
        </w:rPr>
        <w:t>500-100</w:t>
      </w:r>
      <w:r>
        <w:rPr>
          <w:rFonts w:hint="eastAsia"/>
          <w:sz w:val="22"/>
        </w:rPr>
        <w:t>）万元×</w:t>
      </w:r>
      <w:r>
        <w:rPr>
          <w:sz w:val="22"/>
        </w:rPr>
        <w:t>0.8%=3.2</w:t>
      </w:r>
      <w:r>
        <w:rPr>
          <w:rFonts w:hint="eastAsia"/>
          <w:sz w:val="22"/>
        </w:rPr>
        <w:t>万元</w:t>
      </w:r>
      <w:r>
        <w:rPr>
          <w:sz w:val="22"/>
        </w:rPr>
        <w:t xml:space="preserve"> </w:t>
      </w:r>
    </w:p>
    <w:p>
      <w:pPr>
        <w:tabs>
          <w:tab w:val="clear" w:pos="426"/>
        </w:tabs>
        <w:ind w:left="424" w:leftChars="202" w:firstLine="440" w:firstLineChars="200"/>
        <w:rPr>
          <w:sz w:val="22"/>
        </w:rPr>
      </w:pPr>
      <w:r>
        <w:rPr>
          <w:rFonts w:hint="eastAsia"/>
          <w:sz w:val="22"/>
        </w:rPr>
        <w:t>（</w:t>
      </w:r>
      <w:r>
        <w:rPr>
          <w:sz w:val="22"/>
        </w:rPr>
        <w:t>1000-500</w:t>
      </w:r>
      <w:r>
        <w:rPr>
          <w:rFonts w:hint="eastAsia"/>
          <w:sz w:val="22"/>
        </w:rPr>
        <w:t>）万元×</w:t>
      </w:r>
      <w:r>
        <w:rPr>
          <w:sz w:val="22"/>
        </w:rPr>
        <w:t>0.45%=2.25</w:t>
      </w:r>
      <w:r>
        <w:rPr>
          <w:rFonts w:hint="eastAsia"/>
          <w:sz w:val="22"/>
        </w:rPr>
        <w:t>万元</w:t>
      </w:r>
      <w:r>
        <w:rPr>
          <w:sz w:val="22"/>
        </w:rPr>
        <w:t xml:space="preserve"> </w:t>
      </w:r>
    </w:p>
    <w:p>
      <w:pPr>
        <w:tabs>
          <w:tab w:val="clear" w:pos="426"/>
        </w:tabs>
        <w:ind w:left="424" w:leftChars="202" w:firstLine="440" w:firstLineChars="200"/>
        <w:rPr>
          <w:sz w:val="22"/>
        </w:rPr>
      </w:pPr>
      <w:r>
        <w:rPr>
          <w:rFonts w:hint="eastAsia"/>
          <w:sz w:val="22"/>
        </w:rPr>
        <w:t>（</w:t>
      </w:r>
      <w:r>
        <w:rPr>
          <w:sz w:val="22"/>
        </w:rPr>
        <w:t>5000-1000</w:t>
      </w:r>
      <w:r>
        <w:rPr>
          <w:rFonts w:hint="eastAsia"/>
          <w:sz w:val="22"/>
        </w:rPr>
        <w:t>）万元×</w:t>
      </w:r>
      <w:r>
        <w:rPr>
          <w:sz w:val="22"/>
        </w:rPr>
        <w:t>0.25%=10</w:t>
      </w:r>
      <w:r>
        <w:rPr>
          <w:rFonts w:hint="eastAsia"/>
          <w:sz w:val="22"/>
        </w:rPr>
        <w:t>万元</w:t>
      </w:r>
    </w:p>
    <w:p>
      <w:pPr>
        <w:tabs>
          <w:tab w:val="clear" w:pos="426"/>
        </w:tabs>
        <w:ind w:left="424" w:leftChars="202" w:firstLine="440" w:firstLineChars="200"/>
        <w:rPr>
          <w:sz w:val="22"/>
        </w:rPr>
      </w:pPr>
      <w:r>
        <w:rPr>
          <w:rFonts w:hint="eastAsia"/>
          <w:sz w:val="22"/>
        </w:rPr>
        <w:t>因此，招标代理服务费为：</w:t>
      </w:r>
      <w:r>
        <w:rPr>
          <w:sz w:val="22"/>
        </w:rPr>
        <w:t>1.5+3.2+2.25+10=16.95</w:t>
      </w:r>
      <w:r>
        <w:rPr>
          <w:rFonts w:hint="eastAsia"/>
          <w:sz w:val="22"/>
        </w:rPr>
        <w:t>万元。</w:t>
      </w:r>
    </w:p>
    <w:sectPr>
      <w:footerReference r:id="rId18" w:type="first"/>
      <w:footerReference r:id="rId17" w:type="default"/>
      <w:pgSz w:w="11906" w:h="16838"/>
      <w:pgMar w:top="1134" w:right="1134" w:bottom="1134" w:left="1418" w:header="851" w:footer="992" w:gutter="0"/>
      <w:pgNumType w:fmt="decimal"/>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E6B1A6C-DFBD-4A41-BDBC-746BBE31D985}"/>
  </w:font>
  <w:font w:name="黑体">
    <w:panose1 w:val="02010609060101010101"/>
    <w:charset w:val="86"/>
    <w:family w:val="auto"/>
    <w:pitch w:val="default"/>
    <w:sig w:usb0="800002BF" w:usb1="38CF7CFA" w:usb2="00000016" w:usb3="00000000" w:csb0="00040001" w:csb1="00000000"/>
    <w:embedRegular r:id="rId2" w:fontKey="{A05C8028-EF65-4651-A9B0-93101E5FAF76}"/>
  </w:font>
  <w:font w:name="Courier New">
    <w:panose1 w:val="02070309020205020404"/>
    <w:charset w:val="01"/>
    <w:family w:val="modern"/>
    <w:pitch w:val="default"/>
    <w:sig w:usb0="E0002EFF" w:usb1="C0007843" w:usb2="00000009" w:usb3="00000000" w:csb0="400001FF" w:csb1="FFFF0000"/>
    <w:embedRegular r:id="rId3" w:fontKey="{42720683-600E-41DD-A6AF-6D74D6E4C2B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6822579F-C64A-4997-A5FA-FF4048B62569}"/>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5" w:fontKey="{CE391EE3-C104-4075-A82D-5568E0D19246}"/>
  </w:font>
  <w:font w:name="ˎ̥">
    <w:altName w:val="Times New Roman"/>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华康简标题宋">
    <w:altName w:val="宋体"/>
    <w:panose1 w:val="00000000000000000000"/>
    <w:charset w:val="86"/>
    <w:family w:val="modern"/>
    <w:pitch w:val="default"/>
    <w:sig w:usb0="00000000" w:usb1="00000000" w:usb2="00000010" w:usb3="00000000" w:csb0="00040000"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embedRegular r:id="rId6" w:fontKey="{0FF2C4FD-CEA3-49BD-BAFD-BC19190051B9}"/>
  </w:font>
  <w:font w:name="仿宋体">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embedRegular r:id="rId7" w:fontKey="{FDCCDC7D-700B-4072-B4A9-229970707A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rPr>
        <w:rStyle w:val="90"/>
      </w:rPr>
    </w:pPr>
    <w:r>
      <w:rPr>
        <w:rStyle w:val="90"/>
      </w:rPr>
      <w:fldChar w:fldCharType="begin"/>
    </w:r>
    <w:r>
      <w:rPr>
        <w:rStyle w:val="90"/>
      </w:rPr>
      <w:instrText xml:space="preserve">PAGE  </w:instrText>
    </w:r>
    <w:r>
      <w:rPr>
        <w:rStyle w:val="90"/>
      </w:rPr>
      <w:fldChar w:fldCharType="separate"/>
    </w:r>
    <w:r>
      <w:rPr>
        <w:rStyle w:val="90"/>
      </w:rPr>
      <w:t>65</w:t>
    </w:r>
    <w:r>
      <w:rPr>
        <w:rStyle w:val="90"/>
      </w:rPr>
      <w:fldChar w:fldCharType="end"/>
    </w:r>
  </w:p>
  <w:p>
    <w:pPr>
      <w:pStyle w:val="5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jc w:val="center"/>
                          </w:pPr>
                          <w:r>
                            <w:fldChar w:fldCharType="begin"/>
                          </w:r>
                          <w:r>
                            <w:instrText xml:space="preserve"> PAGE   \* MERGEFORMAT </w:instrText>
                          </w:r>
                          <w:r>
                            <w:fldChar w:fldCharType="separate"/>
                          </w:r>
                          <w:r>
                            <w:rPr>
                              <w:lang w:val="zh-CN"/>
                            </w:rPr>
                            <w:t>45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3"/>
                      <w:jc w:val="center"/>
                    </w:pPr>
                    <w:r>
                      <w:fldChar w:fldCharType="begin"/>
                    </w:r>
                    <w:r>
                      <w:instrText xml:space="preserve"> PAGE   \* MERGEFORMAT </w:instrText>
                    </w:r>
                    <w:r>
                      <w:fldChar w:fldCharType="separate"/>
                    </w:r>
                    <w:r>
                      <w:rPr>
                        <w:lang w:val="zh-CN"/>
                      </w:rPr>
                      <w:t>45</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jc w:val="center"/>
                          </w:pPr>
                          <w:r>
                            <w:fldChar w:fldCharType="begin"/>
                          </w:r>
                          <w:r>
                            <w:instrText xml:space="preserve"> PAGE   \* MERGEFORMAT </w:instrText>
                          </w:r>
                          <w:r>
                            <w:fldChar w:fldCharType="separate"/>
                          </w:r>
                          <w:r>
                            <w:rPr>
                              <w:lang w:val="zh-CN"/>
                            </w:rPr>
                            <w:t>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3"/>
                      <w:jc w:val="center"/>
                    </w:pPr>
                    <w:r>
                      <w:fldChar w:fldCharType="begin"/>
                    </w:r>
                    <w:r>
                      <w:instrText xml:space="preserve"> PAGE   \* MERGEFORMAT </w:instrText>
                    </w:r>
                    <w:r>
                      <w:fldChar w:fldCharType="separate"/>
                    </w:r>
                    <w:r>
                      <w:rPr>
                        <w:lang w:val="zh-CN"/>
                      </w:rPr>
                      <w:t>8</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jc w:val="center"/>
                          </w:pPr>
                          <w:r>
                            <w:fldChar w:fldCharType="begin"/>
                          </w:r>
                          <w:r>
                            <w:instrText xml:space="preserve"> PAGE   \* MERGEFORMAT </w:instrText>
                          </w:r>
                          <w:r>
                            <w:fldChar w:fldCharType="separate"/>
                          </w:r>
                          <w:r>
                            <w:rPr>
                              <w:lang w:val="zh-CN"/>
                            </w:rPr>
                            <w:t>45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3"/>
                      <w:jc w:val="center"/>
                    </w:pPr>
                    <w:r>
                      <w:fldChar w:fldCharType="begin"/>
                    </w:r>
                    <w:r>
                      <w:instrText xml:space="preserve"> PAGE   \* MERGEFORMAT </w:instrText>
                    </w:r>
                    <w:r>
                      <w:fldChar w:fldCharType="separate"/>
                    </w:r>
                    <w:r>
                      <w:rPr>
                        <w:lang w:val="zh-CN"/>
                      </w:rPr>
                      <w:t>45</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firstLine="36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ind w:firstLine="365"/>
                            <w:jc w:val="center"/>
                          </w:pPr>
                          <w:r>
                            <w:rPr>
                              <w:rFonts w:hint="eastAsia"/>
                            </w:rPr>
                            <w:t>第</w:t>
                          </w:r>
                          <w:r>
                            <w:fldChar w:fldCharType="begin"/>
                          </w:r>
                          <w:r>
                            <w:instrText xml:space="preserve">PAGE   \* MERGEFORMAT</w:instrText>
                          </w:r>
                          <w:r>
                            <w:fldChar w:fldCharType="separate"/>
                          </w:r>
                          <w:r>
                            <w:rPr>
                              <w:lang w:val="zh-CN"/>
                            </w:rPr>
                            <w:t>80</w:t>
                          </w:r>
                          <w:r>
                            <w:rPr>
                              <w:lang w:val="zh-CN"/>
                            </w:rP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3"/>
                      <w:ind w:firstLine="365"/>
                      <w:jc w:val="center"/>
                    </w:pPr>
                    <w:r>
                      <w:rPr>
                        <w:rFonts w:hint="eastAsia"/>
                      </w:rPr>
                      <w:t>第</w:t>
                    </w:r>
                    <w:r>
                      <w:fldChar w:fldCharType="begin"/>
                    </w:r>
                    <w:r>
                      <w:instrText xml:space="preserve">PAGE   \* MERGEFORMAT</w:instrText>
                    </w:r>
                    <w:r>
                      <w:fldChar w:fldCharType="separate"/>
                    </w:r>
                    <w:r>
                      <w:rPr>
                        <w:lang w:val="zh-CN"/>
                      </w:rPr>
                      <w:t>80</w:t>
                    </w:r>
                    <w:r>
                      <w:rPr>
                        <w:lang w:val="zh-CN"/>
                      </w:rPr>
                      <w:fldChar w:fldCharType="end"/>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firstLine="36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ind w:firstLine="365"/>
                            <w:jc w:val="center"/>
                          </w:pPr>
                          <w:r>
                            <w:rPr>
                              <w:rFonts w:hint="eastAsia"/>
                            </w:rPr>
                            <w:t>第</w:t>
                          </w:r>
                          <w:r>
                            <w:fldChar w:fldCharType="begin"/>
                          </w:r>
                          <w:r>
                            <w:instrText xml:space="preserve">PAGE   \* MERGEFORMAT</w:instrText>
                          </w:r>
                          <w:r>
                            <w:fldChar w:fldCharType="separate"/>
                          </w:r>
                          <w:r>
                            <w:rPr>
                              <w:lang w:val="zh-CN"/>
                            </w:rPr>
                            <w:t>80</w:t>
                          </w:r>
                          <w:r>
                            <w:rPr>
                              <w:lang w:val="zh-CN"/>
                            </w:rP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3"/>
                      <w:ind w:firstLine="365"/>
                      <w:jc w:val="center"/>
                    </w:pPr>
                    <w:r>
                      <w:rPr>
                        <w:rFonts w:hint="eastAsia"/>
                      </w:rPr>
                      <w:t>第</w:t>
                    </w:r>
                    <w:r>
                      <w:fldChar w:fldCharType="begin"/>
                    </w:r>
                    <w:r>
                      <w:instrText xml:space="preserve">PAGE   \* MERGEFORMAT</w:instrText>
                    </w:r>
                    <w:r>
                      <w:fldChar w:fldCharType="separate"/>
                    </w:r>
                    <w:r>
                      <w:rPr>
                        <w:lang w:val="zh-CN"/>
                      </w:rPr>
                      <w:t>80</w:t>
                    </w:r>
                    <w:r>
                      <w:rPr>
                        <w:lang w:val="zh-CN"/>
                      </w:rPr>
                      <w:fldChar w:fldCharType="end"/>
                    </w:r>
                    <w:r>
                      <w:rPr>
                        <w:rFonts w:hint="eastAsia"/>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jc w:val="center"/>
                          </w:pPr>
                          <w:r>
                            <w:fldChar w:fldCharType="begin"/>
                          </w:r>
                          <w:r>
                            <w:instrText xml:space="preserve"> PAGE   \* MERGEFORMAT </w:instrText>
                          </w:r>
                          <w:r>
                            <w:fldChar w:fldCharType="separate"/>
                          </w:r>
                          <w:r>
                            <w:rPr>
                              <w:lang w:val="zh-CN"/>
                            </w:rPr>
                            <w:t>45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3"/>
                      <w:jc w:val="center"/>
                    </w:pPr>
                    <w:r>
                      <w:fldChar w:fldCharType="begin"/>
                    </w:r>
                    <w:r>
                      <w:instrText xml:space="preserve"> PAGE   \* MERGEFORMAT </w:instrText>
                    </w:r>
                    <w:r>
                      <w:fldChar w:fldCharType="separate"/>
                    </w:r>
                    <w:r>
                      <w:rPr>
                        <w:lang w:val="zh-CN"/>
                      </w:rPr>
                      <w:t>45</w:t>
                    </w:r>
                    <w:r>
                      <w:rPr>
                        <w:lang w:val="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firstLine="36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ind w:firstLine="365"/>
                            <w:jc w:val="center"/>
                          </w:pPr>
                          <w:r>
                            <w:rPr>
                              <w:rFonts w:hint="eastAsia"/>
                            </w:rPr>
                            <w:t>第</w:t>
                          </w:r>
                          <w:r>
                            <w:fldChar w:fldCharType="begin"/>
                          </w:r>
                          <w:r>
                            <w:instrText xml:space="preserve">PAGE   \* MERGEFORMAT</w:instrText>
                          </w:r>
                          <w:r>
                            <w:fldChar w:fldCharType="separate"/>
                          </w:r>
                          <w:r>
                            <w:rPr>
                              <w:lang w:val="zh-CN"/>
                            </w:rPr>
                            <w:t>80</w:t>
                          </w:r>
                          <w:r>
                            <w:rPr>
                              <w:lang w:val="zh-CN"/>
                            </w:rP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3"/>
                      <w:ind w:firstLine="365"/>
                      <w:jc w:val="center"/>
                    </w:pPr>
                    <w:r>
                      <w:rPr>
                        <w:rFonts w:hint="eastAsia"/>
                      </w:rPr>
                      <w:t>第</w:t>
                    </w:r>
                    <w:r>
                      <w:fldChar w:fldCharType="begin"/>
                    </w:r>
                    <w:r>
                      <w:instrText xml:space="preserve">PAGE   \* MERGEFORMAT</w:instrText>
                    </w:r>
                    <w:r>
                      <w:fldChar w:fldCharType="separate"/>
                    </w:r>
                    <w:r>
                      <w:rPr>
                        <w:lang w:val="zh-CN"/>
                      </w:rPr>
                      <w:t>80</w:t>
                    </w:r>
                    <w:r>
                      <w:rPr>
                        <w:lang w:val="zh-CN"/>
                      </w:rPr>
                      <w:fldChar w:fldCharType="end"/>
                    </w:r>
                    <w:r>
                      <w:rPr>
                        <w:rFonts w:hint="eastAsia"/>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jc w:val="center"/>
                          </w:pPr>
                          <w:r>
                            <w:fldChar w:fldCharType="begin"/>
                          </w:r>
                          <w:r>
                            <w:instrText xml:space="preserve"> PAGE   \* MERGEFORMAT </w:instrText>
                          </w:r>
                          <w:r>
                            <w:fldChar w:fldCharType="separate"/>
                          </w:r>
                          <w:r>
                            <w:rPr>
                              <w:lang w:val="zh-CN"/>
                            </w:rPr>
                            <w:t>45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3"/>
                      <w:jc w:val="center"/>
                    </w:pPr>
                    <w:r>
                      <w:fldChar w:fldCharType="begin"/>
                    </w:r>
                    <w:r>
                      <w:instrText xml:space="preserve"> PAGE   \* MERGEFORMAT </w:instrText>
                    </w:r>
                    <w:r>
                      <w:fldChar w:fldCharType="separate"/>
                    </w:r>
                    <w:r>
                      <w:rPr>
                        <w:lang w:val="zh-CN"/>
                      </w:rPr>
                      <w:t>45</w:t>
                    </w:r>
                    <w:r>
                      <w:rPr>
                        <w:lang w:val="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firstLine="365"/>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ind w:firstLine="365"/>
                            <w:jc w:val="center"/>
                          </w:pPr>
                          <w:r>
                            <w:fldChar w:fldCharType="begin"/>
                          </w:r>
                          <w:r>
                            <w:instrText xml:space="preserve">PAGE   \* MERGEFORMAT</w:instrText>
                          </w:r>
                          <w:r>
                            <w:fldChar w:fldCharType="separate"/>
                          </w:r>
                          <w:r>
                            <w:rPr>
                              <w:lang w:val="zh-CN"/>
                            </w:rPr>
                            <w:t>80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3"/>
                      <w:ind w:firstLine="365"/>
                      <w:jc w:val="center"/>
                    </w:pPr>
                    <w:r>
                      <w:fldChar w:fldCharType="begin"/>
                    </w:r>
                    <w:r>
                      <w:instrText xml:space="preserve">PAGE   \* MERGEFORMAT</w:instrText>
                    </w:r>
                    <w:r>
                      <w:fldChar w:fldCharType="separate"/>
                    </w:r>
                    <w:r>
                      <w:rPr>
                        <w:lang w:val="zh-CN"/>
                      </w:rPr>
                      <w:t>80</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420"/>
    </w:pPr>
    <w:r>
      <w:rPr>
        <w:rFonts w:hint="eastAsia"/>
      </w:rPr>
      <w:t>广东省深圳市宝安区消防救援大队2024年食堂配菜服务采购项目（A/B/C包）-项目编号：</w:t>
    </w:r>
    <w:r>
      <w:t>SSZX2024-152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420"/>
    </w:pPr>
    <w:r>
      <w:rPr>
        <w:rFonts w:hint="eastAsia"/>
      </w:rPr>
      <w:t>广东省深圳市宝安区消防救援大队2024年食堂配菜服务采购项目（A/B/C包）-项目编号：</w:t>
    </w:r>
    <w:r>
      <w:t>SSZX2024-152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广东省深圳市宝安区消防救援大队2024年食堂配菜服务采购项目（A/B/C包）-项目编号：</w:t>
    </w:r>
    <w:r>
      <w:t>SSZX2024-152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广东省深圳市宝安区消防救援大队2024年食堂配菜服务采购项目（A/B/C包）-项目编号：</w:t>
    </w:r>
    <w:r>
      <w:t>SSZX2024-152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D3C3D"/>
    <w:multiLevelType w:val="multilevel"/>
    <w:tmpl w:val="9C9D3C3D"/>
    <w:lvl w:ilvl="0" w:tentative="0">
      <w:start w:val="1"/>
      <w:numFmt w:val="decimal"/>
      <w:pStyle w:val="156"/>
      <w:lvlText w:val="%1)"/>
      <w:lvlJc w:val="left"/>
      <w:pPr>
        <w:tabs>
          <w:tab w:val="left" w:pos="0"/>
        </w:tabs>
        <w:ind w:left="420" w:hanging="420"/>
      </w:pPr>
      <w:rPr>
        <w:rFonts w:hint="default"/>
      </w:rPr>
    </w:lvl>
    <w:lvl w:ilvl="1" w:tentative="0">
      <w:start w:val="1"/>
      <w:numFmt w:val="bullet"/>
      <w:lvlText w:val=""/>
      <w:lvlJc w:val="left"/>
      <w:pPr>
        <w:tabs>
          <w:tab w:val="left" w:pos="0"/>
        </w:tabs>
        <w:ind w:left="1260" w:hanging="420"/>
      </w:pPr>
      <w:rPr>
        <w:rFonts w:hint="default" w:ascii="Wingdings" w:hAnsi="Wingdings"/>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bullet"/>
      <w:lvlText w:val=""/>
      <w:lvlJc w:val="left"/>
      <w:pPr>
        <w:tabs>
          <w:tab w:val="left" w:pos="0"/>
        </w:tabs>
        <w:ind w:left="2100" w:hanging="420"/>
      </w:pPr>
      <w:rPr>
        <w:rFonts w:hint="default" w:ascii="Wingdings" w:hAnsi="Wingdings"/>
      </w:rPr>
    </w:lvl>
    <w:lvl w:ilvl="4" w:tentative="0">
      <w:start w:val="1"/>
      <w:numFmt w:val="bullet"/>
      <w:lvlText w:val=""/>
      <w:lvlJc w:val="left"/>
      <w:pPr>
        <w:tabs>
          <w:tab w:val="left" w:pos="0"/>
        </w:tabs>
        <w:ind w:left="2520" w:hanging="420"/>
      </w:pPr>
      <w:rPr>
        <w:rFonts w:hint="default" w:ascii="Wingdings" w:hAnsi="Wingdings"/>
      </w:rPr>
    </w:lvl>
    <w:lvl w:ilvl="5" w:tentative="0">
      <w:start w:val="1"/>
      <w:numFmt w:val="bullet"/>
      <w:lvlText w:val=""/>
      <w:lvlJc w:val="left"/>
      <w:pPr>
        <w:tabs>
          <w:tab w:val="left" w:pos="0"/>
        </w:tabs>
        <w:ind w:left="2940" w:hanging="420"/>
      </w:pPr>
      <w:rPr>
        <w:rFonts w:hint="default" w:ascii="Wingdings" w:hAnsi="Wingdings"/>
      </w:r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bullet"/>
      <w:lvlText w:val=""/>
      <w:lvlJc w:val="left"/>
      <w:pPr>
        <w:tabs>
          <w:tab w:val="left" w:pos="0"/>
        </w:tabs>
        <w:ind w:left="3780" w:hanging="420"/>
      </w:pPr>
      <w:rPr>
        <w:rFonts w:hint="default" w:ascii="Wingdings" w:hAnsi="Wingdings"/>
      </w:rPr>
    </w:lvl>
    <w:lvl w:ilvl="8" w:tentative="0">
      <w:start w:val="1"/>
      <w:numFmt w:val="bullet"/>
      <w:lvlText w:val=""/>
      <w:lvlJc w:val="left"/>
      <w:pPr>
        <w:tabs>
          <w:tab w:val="left" w:pos="0"/>
        </w:tabs>
        <w:ind w:left="4200" w:hanging="420"/>
      </w:pPr>
      <w:rPr>
        <w:rFonts w:hint="default" w:ascii="Wingdings" w:hAnsi="Wingdings"/>
      </w:rPr>
    </w:lvl>
  </w:abstractNum>
  <w:abstractNum w:abstractNumId="1">
    <w:nsid w:val="9DF148B3"/>
    <w:multiLevelType w:val="multilevel"/>
    <w:tmpl w:val="9DF148B3"/>
    <w:lvl w:ilvl="0" w:tentative="0">
      <w:start w:val="1"/>
      <w:numFmt w:val="chineseCountingThousand"/>
      <w:pStyle w:val="391"/>
      <w:suff w:val="space"/>
      <w:lvlText w:val="第%1章"/>
      <w:lvlJc w:val="left"/>
      <w:pPr>
        <w:tabs>
          <w:tab w:val="left" w:pos="0"/>
        </w:tabs>
        <w:ind w:left="284" w:hanging="284"/>
      </w:pPr>
      <w:rPr>
        <w:rFonts w:hint="eastAsia" w:ascii="黑体" w:hAnsi="黑体" w:eastAsia="黑体"/>
        <w:sz w:val="30"/>
      </w:rPr>
    </w:lvl>
    <w:lvl w:ilvl="1" w:tentative="0">
      <w:start w:val="1"/>
      <w:numFmt w:val="decimal"/>
      <w:isLgl/>
      <w:suff w:val="space"/>
      <w:lvlText w:val="%1.%2"/>
      <w:lvlJc w:val="left"/>
      <w:pPr>
        <w:tabs>
          <w:tab w:val="left" w:pos="0"/>
        </w:tabs>
        <w:ind w:left="284" w:hanging="284"/>
      </w:pPr>
      <w:rPr>
        <w:rFonts w:hint="eastAsia" w:ascii="黑体" w:hAnsi="黑体" w:eastAsia="黑体"/>
        <w:sz w:val="28"/>
      </w:rPr>
    </w:lvl>
    <w:lvl w:ilvl="2" w:tentative="0">
      <w:start w:val="1"/>
      <w:numFmt w:val="decimal"/>
      <w:isLgl/>
      <w:suff w:val="space"/>
      <w:lvlText w:val="%1.%2.%3"/>
      <w:lvlJc w:val="left"/>
      <w:pPr>
        <w:tabs>
          <w:tab w:val="left" w:pos="0"/>
        </w:tabs>
        <w:ind w:left="284" w:hanging="284"/>
      </w:pPr>
      <w:rPr>
        <w:rFonts w:hint="eastAsia" w:ascii="黑体" w:hAnsi="黑体" w:eastAsia="黑体"/>
        <w:sz w:val="26"/>
      </w:rPr>
    </w:lvl>
    <w:lvl w:ilvl="3" w:tentative="0">
      <w:start w:val="1"/>
      <w:numFmt w:val="decimal"/>
      <w:isLgl/>
      <w:suff w:val="space"/>
      <w:lvlText w:val="%1.%2.%3.%4"/>
      <w:lvlJc w:val="left"/>
      <w:pPr>
        <w:tabs>
          <w:tab w:val="left" w:pos="0"/>
        </w:tabs>
        <w:ind w:left="284" w:hanging="284"/>
      </w:pPr>
      <w:rPr>
        <w:rFonts w:hint="eastAsia" w:ascii="黑体" w:hAnsi="黑体" w:eastAsia="黑体"/>
        <w:sz w:val="24"/>
      </w:rPr>
    </w:lvl>
    <w:lvl w:ilvl="4" w:tentative="0">
      <w:start w:val="1"/>
      <w:numFmt w:val="none"/>
      <w:suff w:val="space"/>
      <w:lvlText w:val=""/>
      <w:lvlJc w:val="left"/>
      <w:pPr>
        <w:tabs>
          <w:tab w:val="left" w:pos="0"/>
        </w:tabs>
        <w:ind w:left="0" w:firstLine="0"/>
      </w:pPr>
      <w:rPr>
        <w:rFonts w:hint="eastAsia"/>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abstractNum w:abstractNumId="2">
    <w:nsid w:val="9F175D3E"/>
    <w:multiLevelType w:val="multilevel"/>
    <w:tmpl w:val="9F175D3E"/>
    <w:lvl w:ilvl="0" w:tentative="0">
      <w:start w:val="1"/>
      <w:numFmt w:val="bullet"/>
      <w:pStyle w:val="175"/>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3">
    <w:nsid w:val="AC0D3E71"/>
    <w:multiLevelType w:val="multilevel"/>
    <w:tmpl w:val="AC0D3E71"/>
    <w:lvl w:ilvl="0" w:tentative="0">
      <w:start w:val="1"/>
      <w:numFmt w:val="chineseCountingThousand"/>
      <w:pStyle w:val="271"/>
      <w:lvlText w:val="第%1章"/>
      <w:lvlJc w:val="left"/>
      <w:pPr>
        <w:tabs>
          <w:tab w:val="left" w:pos="340"/>
        </w:tabs>
        <w:ind w:left="0" w:firstLine="0"/>
      </w:pPr>
      <w:rPr>
        <w:rFonts w:hint="eastAsia"/>
      </w:rPr>
    </w:lvl>
    <w:lvl w:ilvl="1" w:tentative="0">
      <w:start w:val="1"/>
      <w:numFmt w:val="decimal"/>
      <w:pStyle w:val="272"/>
      <w:isLgl/>
      <w:suff w:val="space"/>
      <w:lvlText w:val="%1.%2"/>
      <w:lvlJc w:val="left"/>
      <w:pPr>
        <w:tabs>
          <w:tab w:val="left" w:pos="0"/>
        </w:tabs>
        <w:ind w:left="0" w:firstLine="0"/>
      </w:pPr>
      <w:rPr>
        <w:rFonts w:hint="eastAsia"/>
      </w:rPr>
    </w:lvl>
    <w:lvl w:ilvl="2" w:tentative="0">
      <w:start w:val="1"/>
      <w:numFmt w:val="decimal"/>
      <w:pStyle w:val="273"/>
      <w:isLgl/>
      <w:suff w:val="space"/>
      <w:lvlText w:val="%1.%2.%3"/>
      <w:lvlJc w:val="left"/>
      <w:pPr>
        <w:tabs>
          <w:tab w:val="left" w:pos="0"/>
        </w:tabs>
        <w:ind w:left="0" w:firstLine="0"/>
      </w:pPr>
      <w:rPr>
        <w:rFonts w:hint="eastAsia"/>
      </w:rPr>
    </w:lvl>
    <w:lvl w:ilvl="3" w:tentative="0">
      <w:start w:val="1"/>
      <w:numFmt w:val="decimal"/>
      <w:pStyle w:val="274"/>
      <w:isLgl/>
      <w:suff w:val="space"/>
      <w:lvlText w:val="%1.%2.%3.%4"/>
      <w:lvlJc w:val="left"/>
      <w:pPr>
        <w:tabs>
          <w:tab w:val="left" w:pos="0"/>
        </w:tabs>
        <w:ind w:left="0" w:firstLine="0"/>
      </w:pPr>
      <w:rPr>
        <w:b w:val="0"/>
        <w:bCs w:val="0"/>
        <w:i w:val="0"/>
        <w:iCs w:val="0"/>
        <w:caps w:val="0"/>
        <w:smallCaps w:val="0"/>
        <w:strike w:val="0"/>
        <w:dstrike w:val="0"/>
        <w:vanish w:val="0"/>
        <w:color w:val="000000"/>
        <w:spacing w:val="0"/>
        <w:position w:val="0"/>
        <w:u w:val="none"/>
        <w:vertAlign w:val="baseline"/>
      </w:rPr>
    </w:lvl>
    <w:lvl w:ilvl="4" w:tentative="0">
      <w:start w:val="1"/>
      <w:numFmt w:val="decimal"/>
      <w:pStyle w:val="275"/>
      <w:isLgl/>
      <w:suff w:val="space"/>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4">
    <w:nsid w:val="B150720D"/>
    <w:multiLevelType w:val="multilevel"/>
    <w:tmpl w:val="B150720D"/>
    <w:lvl w:ilvl="0" w:tentative="0">
      <w:start w:val="1"/>
      <w:numFmt w:val="bullet"/>
      <w:pStyle w:val="18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B4E76765"/>
    <w:multiLevelType w:val="singleLevel"/>
    <w:tmpl w:val="B4E76765"/>
    <w:lvl w:ilvl="0" w:tentative="0">
      <w:start w:val="1"/>
      <w:numFmt w:val="decimal"/>
      <w:pStyle w:val="34"/>
      <w:lvlText w:val="%1."/>
      <w:lvlJc w:val="left"/>
      <w:pPr>
        <w:tabs>
          <w:tab w:val="left" w:pos="1200"/>
        </w:tabs>
        <w:ind w:left="1200" w:hanging="360"/>
      </w:pPr>
    </w:lvl>
  </w:abstractNum>
  <w:abstractNum w:abstractNumId="6">
    <w:nsid w:val="B985D9C8"/>
    <w:multiLevelType w:val="multilevel"/>
    <w:tmpl w:val="B985D9C8"/>
    <w:lvl w:ilvl="0" w:tentative="0">
      <w:start w:val="1"/>
      <w:numFmt w:val="chineseCountingThousand"/>
      <w:pStyle w:val="183"/>
      <w:lvlText w:val="第%1章"/>
      <w:lvlJc w:val="left"/>
      <w:pPr>
        <w:tabs>
          <w:tab w:val="left" w:pos="1440"/>
        </w:tabs>
        <w:ind w:left="0" w:firstLine="0"/>
      </w:pPr>
      <w:rPr>
        <w:rFonts w:hint="eastAsia"/>
      </w:rPr>
    </w:lvl>
    <w:lvl w:ilvl="1" w:tentative="0">
      <w:start w:val="1"/>
      <w:numFmt w:val="decimal"/>
      <w:pStyle w:val="184"/>
      <w:isLgl/>
      <w:lvlText w:val="%1.%2"/>
      <w:lvlJc w:val="left"/>
      <w:pPr>
        <w:tabs>
          <w:tab w:val="left" w:pos="720"/>
        </w:tabs>
        <w:ind w:left="0" w:firstLine="0"/>
      </w:pPr>
      <w:rPr>
        <w:rFonts w:hint="eastAsia"/>
      </w:rPr>
    </w:lvl>
    <w:lvl w:ilvl="2" w:tentative="0">
      <w:start w:val="1"/>
      <w:numFmt w:val="decimal"/>
      <w:pStyle w:val="185"/>
      <w:isLgl/>
      <w:suff w:val="space"/>
      <w:lvlText w:val="%1.%2.%3"/>
      <w:lvlJc w:val="left"/>
      <w:pPr>
        <w:tabs>
          <w:tab w:val="left" w:pos="0"/>
        </w:tabs>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7">
    <w:nsid w:val="B9B1C257"/>
    <w:multiLevelType w:val="multilevel"/>
    <w:tmpl w:val="B9B1C257"/>
    <w:lvl w:ilvl="0" w:tentative="0">
      <w:start w:val="1"/>
      <w:numFmt w:val="bullet"/>
      <w:lvlText w:val=""/>
      <w:lvlJc w:val="left"/>
      <w:pPr>
        <w:tabs>
          <w:tab w:val="left" w:pos="0"/>
        </w:tabs>
        <w:ind w:left="420" w:hanging="420"/>
      </w:pPr>
      <w:rPr>
        <w:rFonts w:hint="default" w:ascii="Wingdings" w:hAnsi="Wingdings"/>
      </w:rPr>
    </w:lvl>
    <w:lvl w:ilvl="1" w:tentative="0">
      <w:start w:val="1"/>
      <w:numFmt w:val="decimal"/>
      <w:pStyle w:val="290"/>
      <w:lvlText w:val="%2)"/>
      <w:lvlJc w:val="left"/>
      <w:pPr>
        <w:tabs>
          <w:tab w:val="left" w:pos="0"/>
        </w:tabs>
        <w:ind w:left="840" w:hanging="420"/>
      </w:pPr>
      <w:rPr>
        <w:rFonts w:hint="default"/>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8">
    <w:nsid w:val="C26D0BD1"/>
    <w:multiLevelType w:val="singleLevel"/>
    <w:tmpl w:val="C26D0BD1"/>
    <w:lvl w:ilvl="0" w:tentative="0">
      <w:start w:val="1"/>
      <w:numFmt w:val="bullet"/>
      <w:pStyle w:val="210"/>
      <w:lvlText w:val=""/>
      <w:lvlJc w:val="left"/>
      <w:pPr>
        <w:tabs>
          <w:tab w:val="left" w:pos="360"/>
        </w:tabs>
        <w:ind w:left="360" w:hanging="360"/>
      </w:pPr>
      <w:rPr>
        <w:rFonts w:hint="default" w:ascii="Wingdings" w:hAnsi="Wingdings"/>
      </w:rPr>
    </w:lvl>
  </w:abstractNum>
  <w:abstractNum w:abstractNumId="9">
    <w:nsid w:val="C4527E8E"/>
    <w:multiLevelType w:val="multilevel"/>
    <w:tmpl w:val="C4527E8E"/>
    <w:lvl w:ilvl="0" w:tentative="0">
      <w:start w:val="1"/>
      <w:numFmt w:val="decimal"/>
      <w:pStyle w:val="288"/>
      <w:lvlText w:val="%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D04EF464"/>
    <w:multiLevelType w:val="multilevel"/>
    <w:tmpl w:val="D04EF464"/>
    <w:lvl w:ilvl="0" w:tentative="0">
      <w:start w:val="1"/>
      <w:numFmt w:val="decimal"/>
      <w:pStyle w:val="361"/>
      <w:suff w:val="nothing"/>
      <w:lvlText w:val="%1."/>
      <w:lvlJc w:val="left"/>
      <w:pPr>
        <w:tabs>
          <w:tab w:val="left" w:pos="0"/>
        </w:tabs>
        <w:ind w:left="180" w:firstLine="0"/>
      </w:pPr>
      <w:rPr>
        <w:rFonts w:hint="eastAsia" w:ascii="宋体" w:hAnsi="宋体" w:eastAsia="宋体"/>
        <w:b w:val="0"/>
        <w:i w:val="0"/>
        <w:caps w:val="0"/>
        <w:smallCaps w:val="0"/>
        <w:strike w:val="0"/>
        <w:dstrike w:val="0"/>
        <w:vanish w:val="0"/>
        <w:color w:val="000000"/>
        <w:spacing w:val="0"/>
        <w:position w:val="0"/>
        <w:sz w:val="24"/>
        <w:szCs w:val="24"/>
        <w:vertAlign w:val="baseline"/>
      </w:rPr>
    </w:lvl>
    <w:lvl w:ilvl="1" w:tentative="0">
      <w:start w:val="1"/>
      <w:numFmt w:val="decimal"/>
      <w:pStyle w:val="362"/>
      <w:suff w:val="nothing"/>
      <w:lvlText w:val="%1.%2"/>
      <w:lvlJc w:val="left"/>
      <w:pPr>
        <w:tabs>
          <w:tab w:val="left" w:pos="0"/>
        </w:tabs>
        <w:ind w:left="4736" w:hanging="3836"/>
      </w:pPr>
      <w:rPr>
        <w:rFonts w:hint="eastAsia" w:ascii="Times New Roman" w:hAnsi="Times New Roman" w:cs="Times New Roman"/>
        <w:b w:val="0"/>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pStyle w:val="363"/>
      <w:suff w:val="nothing"/>
      <w:lvlText w:val="%3）"/>
      <w:lvlJc w:val="left"/>
      <w:pPr>
        <w:tabs>
          <w:tab w:val="left" w:pos="0"/>
        </w:tabs>
        <w:ind w:left="890" w:hanging="170"/>
      </w:pPr>
      <w:rPr>
        <w:b w:val="0"/>
        <w:i w:val="0"/>
        <w:strike w:val="0"/>
        <w:dstrike w:val="0"/>
        <w:color w:val="000000"/>
      </w:rPr>
    </w:lvl>
    <w:lvl w:ilvl="3" w:tentative="0">
      <w:start w:val="1"/>
      <w:numFmt w:val="decimal"/>
      <w:pStyle w:val="364"/>
      <w:suff w:val="nothing"/>
      <w:lvlText w:val="%1.%2.%3.%4"/>
      <w:lvlJc w:val="left"/>
      <w:pPr>
        <w:tabs>
          <w:tab w:val="left" w:pos="0"/>
        </w:tabs>
        <w:ind w:left="284" w:hanging="227"/>
      </w:pPr>
      <w:rPr>
        <w:rFonts w:hint="eastAsia"/>
        <w:b w:val="0"/>
        <w:i w:val="0"/>
      </w:rPr>
    </w:lvl>
    <w:lvl w:ilvl="4" w:tentative="0">
      <w:start w:val="1"/>
      <w:numFmt w:val="decimal"/>
      <w:pStyle w:val="365"/>
      <w:suff w:val="nothing"/>
      <w:lvlText w:val="%1.%2.%3.%4.%5"/>
      <w:lvlJc w:val="left"/>
      <w:pPr>
        <w:tabs>
          <w:tab w:val="left" w:pos="0"/>
        </w:tabs>
        <w:ind w:left="397" w:hanging="340"/>
      </w:pPr>
      <w:rPr>
        <w:rFonts w:hint="eastAsia" w:ascii="宋体" w:hAnsi="宋体" w:eastAsia="宋体"/>
        <w:b w:val="0"/>
        <w:i w:val="0"/>
        <w:caps w:val="0"/>
        <w:small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11">
    <w:nsid w:val="D3185048"/>
    <w:multiLevelType w:val="multilevel"/>
    <w:tmpl w:val="D3185048"/>
    <w:lvl w:ilvl="0" w:tentative="0">
      <w:start w:val="1"/>
      <w:numFmt w:val="decimal"/>
      <w:pStyle w:val="266"/>
      <w:suff w:val="space"/>
      <w:lvlText w:val="%1"/>
      <w:lvlJc w:val="left"/>
      <w:pPr>
        <w:tabs>
          <w:tab w:val="left" w:pos="0"/>
        </w:tabs>
        <w:ind w:left="0" w:firstLine="0"/>
      </w:pPr>
      <w:rPr>
        <w:rFonts w:hint="eastAsia"/>
      </w:rPr>
    </w:lvl>
    <w:lvl w:ilvl="1" w:tentative="0">
      <w:start w:val="1"/>
      <w:numFmt w:val="decimal"/>
      <w:pStyle w:val="267"/>
      <w:suff w:val="space"/>
      <w:lvlText w:val="%1.%2"/>
      <w:lvlJc w:val="left"/>
      <w:pPr>
        <w:tabs>
          <w:tab w:val="left" w:pos="0"/>
        </w:tabs>
        <w:ind w:left="0" w:firstLine="0"/>
      </w:pPr>
      <w:rPr>
        <w:rFonts w:hint="eastAsia"/>
      </w:rPr>
    </w:lvl>
    <w:lvl w:ilvl="2" w:tentative="0">
      <w:start w:val="1"/>
      <w:numFmt w:val="decimal"/>
      <w:pStyle w:val="268"/>
      <w:suff w:val="space"/>
      <w:lvlText w:val="%1.%2.%3"/>
      <w:lvlJc w:val="left"/>
      <w:pPr>
        <w:tabs>
          <w:tab w:val="left" w:pos="0"/>
        </w:tabs>
        <w:ind w:left="0" w:firstLine="0"/>
      </w:pPr>
      <w:rPr>
        <w:rFonts w:hint="eastAsia"/>
      </w:rPr>
    </w:lvl>
    <w:lvl w:ilvl="3" w:tentative="0">
      <w:start w:val="1"/>
      <w:numFmt w:val="decimal"/>
      <w:pStyle w:val="269"/>
      <w:suff w:val="space"/>
      <w:lvlText w:val="%1.%2.%3.%4"/>
      <w:lvlJc w:val="left"/>
      <w:pPr>
        <w:tabs>
          <w:tab w:val="left" w:pos="0"/>
        </w:tabs>
        <w:ind w:left="0" w:firstLine="0"/>
      </w:pPr>
      <w:rPr>
        <w:rFonts w:hint="eastAsia"/>
      </w:rPr>
    </w:lvl>
    <w:lvl w:ilvl="4" w:tentative="0">
      <w:start w:val="1"/>
      <w:numFmt w:val="decimal"/>
      <w:pStyle w:val="270"/>
      <w:suff w:val="space"/>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12">
    <w:nsid w:val="DCA6C445"/>
    <w:multiLevelType w:val="multilevel"/>
    <w:tmpl w:val="DCA6C445"/>
    <w:lvl w:ilvl="0" w:tentative="0">
      <w:start w:val="1"/>
      <w:numFmt w:val="decimal"/>
      <w:pStyle w:val="278"/>
      <w:lvlText w:val="%1)"/>
      <w:lvlJc w:val="left"/>
      <w:pPr>
        <w:tabs>
          <w:tab w:val="left" w:pos="0"/>
        </w:tabs>
        <w:ind w:left="620" w:hanging="420"/>
      </w:pPr>
    </w:lvl>
    <w:lvl w:ilvl="1" w:tentative="0">
      <w:start w:val="1"/>
      <w:numFmt w:val="lowerLetter"/>
      <w:lvlText w:val="%2)"/>
      <w:lvlJc w:val="left"/>
      <w:pPr>
        <w:tabs>
          <w:tab w:val="left" w:pos="0"/>
        </w:tabs>
        <w:ind w:left="1040" w:hanging="420"/>
      </w:pPr>
    </w:lvl>
    <w:lvl w:ilvl="2" w:tentative="0">
      <w:start w:val="1"/>
      <w:numFmt w:val="lowerRoman"/>
      <w:lvlText w:val="%3."/>
      <w:lvlJc w:val="right"/>
      <w:pPr>
        <w:tabs>
          <w:tab w:val="left" w:pos="0"/>
        </w:tabs>
        <w:ind w:left="1460" w:hanging="420"/>
      </w:pPr>
    </w:lvl>
    <w:lvl w:ilvl="3" w:tentative="0">
      <w:start w:val="1"/>
      <w:numFmt w:val="decimal"/>
      <w:lvlText w:val="%4."/>
      <w:lvlJc w:val="left"/>
      <w:pPr>
        <w:tabs>
          <w:tab w:val="left" w:pos="0"/>
        </w:tabs>
        <w:ind w:left="1880" w:hanging="420"/>
      </w:pPr>
    </w:lvl>
    <w:lvl w:ilvl="4" w:tentative="0">
      <w:start w:val="1"/>
      <w:numFmt w:val="lowerLetter"/>
      <w:lvlText w:val="%5)"/>
      <w:lvlJc w:val="left"/>
      <w:pPr>
        <w:tabs>
          <w:tab w:val="left" w:pos="0"/>
        </w:tabs>
        <w:ind w:left="2300" w:hanging="420"/>
      </w:pPr>
    </w:lvl>
    <w:lvl w:ilvl="5" w:tentative="0">
      <w:start w:val="1"/>
      <w:numFmt w:val="lowerRoman"/>
      <w:lvlText w:val="%6."/>
      <w:lvlJc w:val="right"/>
      <w:pPr>
        <w:tabs>
          <w:tab w:val="left" w:pos="0"/>
        </w:tabs>
        <w:ind w:left="2720" w:hanging="420"/>
      </w:pPr>
    </w:lvl>
    <w:lvl w:ilvl="6" w:tentative="0">
      <w:start w:val="1"/>
      <w:numFmt w:val="decimal"/>
      <w:lvlText w:val="%7."/>
      <w:lvlJc w:val="left"/>
      <w:pPr>
        <w:tabs>
          <w:tab w:val="left" w:pos="0"/>
        </w:tabs>
        <w:ind w:left="3140" w:hanging="420"/>
      </w:pPr>
    </w:lvl>
    <w:lvl w:ilvl="7" w:tentative="0">
      <w:start w:val="1"/>
      <w:numFmt w:val="lowerLetter"/>
      <w:lvlText w:val="%8)"/>
      <w:lvlJc w:val="left"/>
      <w:pPr>
        <w:tabs>
          <w:tab w:val="left" w:pos="0"/>
        </w:tabs>
        <w:ind w:left="3560" w:hanging="420"/>
      </w:pPr>
    </w:lvl>
    <w:lvl w:ilvl="8" w:tentative="0">
      <w:start w:val="1"/>
      <w:numFmt w:val="lowerRoman"/>
      <w:lvlText w:val="%9."/>
      <w:lvlJc w:val="right"/>
      <w:pPr>
        <w:tabs>
          <w:tab w:val="left" w:pos="0"/>
        </w:tabs>
        <w:ind w:left="3980" w:hanging="420"/>
      </w:pPr>
    </w:lvl>
  </w:abstractNum>
  <w:abstractNum w:abstractNumId="13">
    <w:nsid w:val="E4C626FC"/>
    <w:multiLevelType w:val="singleLevel"/>
    <w:tmpl w:val="E4C626FC"/>
    <w:lvl w:ilvl="0" w:tentative="0">
      <w:start w:val="1"/>
      <w:numFmt w:val="decimal"/>
      <w:pStyle w:val="45"/>
      <w:lvlText w:val="%1."/>
      <w:lvlJc w:val="left"/>
      <w:pPr>
        <w:tabs>
          <w:tab w:val="left" w:pos="1620"/>
        </w:tabs>
        <w:ind w:left="1620" w:hanging="360"/>
      </w:pPr>
    </w:lvl>
  </w:abstractNum>
  <w:abstractNum w:abstractNumId="14">
    <w:nsid w:val="00000004"/>
    <w:multiLevelType w:val="multilevel"/>
    <w:tmpl w:val="00000004"/>
    <w:lvl w:ilvl="0" w:tentative="0">
      <w:start w:val="1"/>
      <w:numFmt w:val="decimal"/>
      <w:lvlText w:val="%1."/>
      <w:lvlJc w:val="left"/>
      <w:pPr>
        <w:tabs>
          <w:tab w:val="left" w:pos="0"/>
        </w:tabs>
        <w:ind w:left="0" w:firstLine="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5"/>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15">
    <w:nsid w:val="0000000F"/>
    <w:multiLevelType w:val="multilevel"/>
    <w:tmpl w:val="0000000F"/>
    <w:lvl w:ilvl="0" w:tentative="0">
      <w:start w:val="0"/>
      <w:numFmt w:val="decimal"/>
      <w:pStyle w:val="530"/>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053BEEC5"/>
    <w:multiLevelType w:val="multilevel"/>
    <w:tmpl w:val="053BEEC5"/>
    <w:lvl w:ilvl="0" w:tentative="0">
      <w:start w:val="1"/>
      <w:numFmt w:val="chineseCountingThousand"/>
      <w:pStyle w:val="153"/>
      <w:lvlText w:val="第%1章"/>
      <w:lvlJc w:val="left"/>
      <w:pPr>
        <w:tabs>
          <w:tab w:val="left" w:pos="0"/>
        </w:tabs>
        <w:ind w:left="420" w:hanging="420"/>
      </w:pPr>
      <w:rPr>
        <w:rFonts w:hint="eastAsia"/>
      </w:rPr>
    </w:lvl>
    <w:lvl w:ilvl="1" w:tentative="0">
      <w:start w:val="1"/>
      <w:numFmt w:val="decimal"/>
      <w:lvlText w:val="1.%2"/>
      <w:lvlJc w:val="left"/>
      <w:pPr>
        <w:tabs>
          <w:tab w:val="left" w:pos="0"/>
        </w:tabs>
        <w:ind w:left="420" w:hanging="420"/>
      </w:pPr>
      <w:rPr>
        <w:rFonts w:hint="default" w:ascii="Calibri Light" w:hAnsi="Calibri Light" w:eastAsia="宋体" w:cs="Calibri"/>
        <w:sz w:val="32"/>
        <w:szCs w:val="32"/>
      </w:rPr>
    </w:lvl>
    <w:lvl w:ilvl="2" w:tentative="0">
      <w:start w:val="1"/>
      <w:numFmt w:val="decimal"/>
      <w:lvlText w:val="1.1.%3"/>
      <w:lvlJc w:val="left"/>
      <w:pPr>
        <w:tabs>
          <w:tab w:val="left" w:pos="0"/>
        </w:tabs>
        <w:ind w:left="420" w:firstLine="147"/>
      </w:pPr>
      <w:rPr>
        <w:rFonts w:hint="eastAsia"/>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7">
    <w:nsid w:val="0AE64B02"/>
    <w:multiLevelType w:val="multilevel"/>
    <w:tmpl w:val="0AE64B02"/>
    <w:lvl w:ilvl="0" w:tentative="0">
      <w:start w:val="1"/>
      <w:numFmt w:val="decimal"/>
      <w:pStyle w:val="151"/>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1235B5CB"/>
    <w:multiLevelType w:val="multilevel"/>
    <w:tmpl w:val="1235B5CB"/>
    <w:lvl w:ilvl="0" w:tentative="0">
      <w:start w:val="1"/>
      <w:numFmt w:val="bullet"/>
      <w:pStyle w:val="260"/>
      <w:lvlText w:val=""/>
      <w:lvlJc w:val="left"/>
      <w:pPr>
        <w:tabs>
          <w:tab w:val="left" w:pos="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9">
    <w:nsid w:val="1EC1F55B"/>
    <w:multiLevelType w:val="multilevel"/>
    <w:tmpl w:val="1EC1F55B"/>
    <w:lvl w:ilvl="0" w:tentative="0">
      <w:start w:val="5"/>
      <w:numFmt w:val="decimal"/>
      <w:lvlText w:val="%1"/>
      <w:lvlJc w:val="left"/>
      <w:pPr>
        <w:tabs>
          <w:tab w:val="left" w:pos="425"/>
        </w:tabs>
        <w:ind w:left="425" w:hanging="425"/>
      </w:pPr>
      <w:rPr>
        <w:rFonts w:hint="eastAsia"/>
      </w:rPr>
    </w:lvl>
    <w:lvl w:ilvl="1" w:tentative="0">
      <w:start w:val="1"/>
      <w:numFmt w:val="decimal"/>
      <w:pStyle w:val="150"/>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217F3F51"/>
    <w:multiLevelType w:val="multilevel"/>
    <w:tmpl w:val="217F3F51"/>
    <w:lvl w:ilvl="0" w:tentative="0">
      <w:start w:val="1"/>
      <w:numFmt w:val="chineseCountingThousand"/>
      <w:lvlText w:val="%1、"/>
      <w:lvlJc w:val="left"/>
      <w:pPr>
        <w:tabs>
          <w:tab w:val="left" w:pos="0"/>
        </w:tabs>
        <w:ind w:left="420" w:hanging="420"/>
      </w:pPr>
    </w:lvl>
    <w:lvl w:ilvl="1" w:tentative="0">
      <w:start w:val="1"/>
      <w:numFmt w:val="chineseCountingThousand"/>
      <w:suff w:val="nothing"/>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1">
    <w:nsid w:val="226B47A1"/>
    <w:multiLevelType w:val="multilevel"/>
    <w:tmpl w:val="226B47A1"/>
    <w:lvl w:ilvl="0" w:tentative="0">
      <w:start w:val="1"/>
      <w:numFmt w:val="decimal"/>
      <w:pStyle w:val="187"/>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tabs>
          <w:tab w:val="left" w:pos="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3">
    <w:nsid w:val="27023690"/>
    <w:multiLevelType w:val="multilevel"/>
    <w:tmpl w:val="27023690"/>
    <w:lvl w:ilvl="0" w:tentative="0">
      <w:start w:val="1"/>
      <w:numFmt w:val="chineseCountingThousand"/>
      <w:suff w:val="nothing"/>
      <w:lvlText w:val="%1"/>
      <w:lvlJc w:val="left"/>
      <w:pPr>
        <w:ind w:left="0" w:firstLine="0"/>
      </w:pPr>
      <w:rPr>
        <w:rFonts w:hint="eastAsia"/>
        <w:b/>
        <w:bCs w:val="0"/>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24">
    <w:nsid w:val="28FE580F"/>
    <w:multiLevelType w:val="singleLevel"/>
    <w:tmpl w:val="28FE580F"/>
    <w:lvl w:ilvl="0" w:tentative="0">
      <w:start w:val="1"/>
      <w:numFmt w:val="decimal"/>
      <w:pStyle w:val="63"/>
      <w:lvlText w:val="%1."/>
      <w:lvlJc w:val="left"/>
      <w:pPr>
        <w:tabs>
          <w:tab w:val="left" w:pos="2040"/>
        </w:tabs>
        <w:ind w:left="2040" w:hanging="360"/>
      </w:pPr>
    </w:lvl>
  </w:abstractNum>
  <w:abstractNum w:abstractNumId="25">
    <w:nsid w:val="2D4C6A2F"/>
    <w:multiLevelType w:val="singleLevel"/>
    <w:tmpl w:val="2D4C6A2F"/>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26">
    <w:nsid w:val="404F81CC"/>
    <w:multiLevelType w:val="singleLevel"/>
    <w:tmpl w:val="404F81CC"/>
    <w:lvl w:ilvl="0" w:tentative="0">
      <w:start w:val="1"/>
      <w:numFmt w:val="decimal"/>
      <w:pStyle w:val="19"/>
      <w:lvlText w:val="%1."/>
      <w:lvlJc w:val="left"/>
      <w:pPr>
        <w:tabs>
          <w:tab w:val="left" w:pos="360"/>
        </w:tabs>
        <w:ind w:left="360" w:hanging="360"/>
      </w:pPr>
    </w:lvl>
  </w:abstractNum>
  <w:abstractNum w:abstractNumId="27">
    <w:nsid w:val="499CB997"/>
    <w:multiLevelType w:val="singleLevel"/>
    <w:tmpl w:val="499CB997"/>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2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tabs>
          <w:tab w:val="left" w:pos="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9">
    <w:nsid w:val="4C296137"/>
    <w:multiLevelType w:val="singleLevel"/>
    <w:tmpl w:val="4C296137"/>
    <w:lvl w:ilvl="0" w:tentative="0">
      <w:start w:val="1"/>
      <w:numFmt w:val="bullet"/>
      <w:pStyle w:val="38"/>
      <w:lvlText w:val=""/>
      <w:lvlJc w:val="left"/>
      <w:pPr>
        <w:tabs>
          <w:tab w:val="left" w:pos="780"/>
        </w:tabs>
        <w:ind w:left="780" w:hanging="360"/>
      </w:pPr>
      <w:rPr>
        <w:rFonts w:hint="default" w:ascii="Wingdings" w:hAnsi="Wingdings"/>
      </w:rPr>
    </w:lvl>
  </w:abstractNum>
  <w:abstractNum w:abstractNumId="30">
    <w:nsid w:val="54C72B21"/>
    <w:multiLevelType w:val="multilevel"/>
    <w:tmpl w:val="54C72B21"/>
    <w:lvl w:ilvl="0" w:tentative="0">
      <w:start w:val="1"/>
      <w:numFmt w:val="bullet"/>
      <w:pStyle w:val="154"/>
      <w:lvlText w:val=""/>
      <w:lvlJc w:val="left"/>
      <w:pPr>
        <w:tabs>
          <w:tab w:val="left" w:pos="0"/>
        </w:tabs>
        <w:ind w:left="780" w:hanging="420"/>
      </w:pPr>
      <w:rPr>
        <w:rFonts w:hint="default" w:ascii="Wingdings" w:hAnsi="Wingdings"/>
      </w:rPr>
    </w:lvl>
    <w:lvl w:ilvl="1" w:tentative="0">
      <w:start w:val="1"/>
      <w:numFmt w:val="bullet"/>
      <w:lvlText w:val=""/>
      <w:lvlJc w:val="left"/>
      <w:pPr>
        <w:tabs>
          <w:tab w:val="left" w:pos="0"/>
        </w:tabs>
        <w:ind w:left="1200" w:hanging="420"/>
      </w:pPr>
      <w:rPr>
        <w:rFonts w:hint="default" w:ascii="Wingdings" w:hAnsi="Wingdings"/>
      </w:rPr>
    </w:lvl>
    <w:lvl w:ilvl="2" w:tentative="0">
      <w:start w:val="1"/>
      <w:numFmt w:val="bullet"/>
      <w:lvlText w:val=""/>
      <w:lvlJc w:val="left"/>
      <w:pPr>
        <w:tabs>
          <w:tab w:val="left" w:pos="0"/>
        </w:tabs>
        <w:ind w:left="1620" w:hanging="420"/>
      </w:pPr>
      <w:rPr>
        <w:rFonts w:hint="default" w:ascii="Wingdings" w:hAnsi="Wingdings"/>
      </w:rPr>
    </w:lvl>
    <w:lvl w:ilvl="3" w:tentative="0">
      <w:start w:val="1"/>
      <w:numFmt w:val="bullet"/>
      <w:lvlText w:val=""/>
      <w:lvlJc w:val="left"/>
      <w:pPr>
        <w:tabs>
          <w:tab w:val="left" w:pos="0"/>
        </w:tabs>
        <w:ind w:left="2040" w:hanging="420"/>
      </w:pPr>
      <w:rPr>
        <w:rFonts w:hint="default" w:ascii="Wingdings" w:hAnsi="Wingdings"/>
      </w:rPr>
    </w:lvl>
    <w:lvl w:ilvl="4" w:tentative="0">
      <w:start w:val="1"/>
      <w:numFmt w:val="bullet"/>
      <w:lvlText w:val=""/>
      <w:lvlJc w:val="left"/>
      <w:pPr>
        <w:tabs>
          <w:tab w:val="left" w:pos="0"/>
        </w:tabs>
        <w:ind w:left="2460" w:hanging="420"/>
      </w:pPr>
      <w:rPr>
        <w:rFonts w:hint="default" w:ascii="Wingdings" w:hAnsi="Wingdings"/>
      </w:rPr>
    </w:lvl>
    <w:lvl w:ilvl="5" w:tentative="0">
      <w:start w:val="1"/>
      <w:numFmt w:val="bullet"/>
      <w:lvlText w:val=""/>
      <w:lvlJc w:val="left"/>
      <w:pPr>
        <w:tabs>
          <w:tab w:val="left" w:pos="0"/>
        </w:tabs>
        <w:ind w:left="2880" w:hanging="420"/>
      </w:pPr>
      <w:rPr>
        <w:rFonts w:hint="default" w:ascii="Wingdings" w:hAnsi="Wingdings"/>
      </w:rPr>
    </w:lvl>
    <w:lvl w:ilvl="6" w:tentative="0">
      <w:start w:val="1"/>
      <w:numFmt w:val="bullet"/>
      <w:lvlText w:val=""/>
      <w:lvlJc w:val="left"/>
      <w:pPr>
        <w:tabs>
          <w:tab w:val="left" w:pos="0"/>
        </w:tabs>
        <w:ind w:left="3300" w:hanging="420"/>
      </w:pPr>
      <w:rPr>
        <w:rFonts w:hint="default" w:ascii="Wingdings" w:hAnsi="Wingdings"/>
      </w:rPr>
    </w:lvl>
    <w:lvl w:ilvl="7" w:tentative="0">
      <w:start w:val="1"/>
      <w:numFmt w:val="bullet"/>
      <w:lvlText w:val=""/>
      <w:lvlJc w:val="left"/>
      <w:pPr>
        <w:tabs>
          <w:tab w:val="left" w:pos="0"/>
        </w:tabs>
        <w:ind w:left="3720" w:hanging="420"/>
      </w:pPr>
      <w:rPr>
        <w:rFonts w:hint="default" w:ascii="Wingdings" w:hAnsi="Wingdings"/>
      </w:rPr>
    </w:lvl>
    <w:lvl w:ilvl="8" w:tentative="0">
      <w:start w:val="1"/>
      <w:numFmt w:val="bullet"/>
      <w:lvlText w:val=""/>
      <w:lvlJc w:val="left"/>
      <w:pPr>
        <w:tabs>
          <w:tab w:val="left" w:pos="0"/>
        </w:tabs>
        <w:ind w:left="4140" w:hanging="420"/>
      </w:pPr>
      <w:rPr>
        <w:rFonts w:hint="default" w:ascii="Wingdings" w:hAnsi="Wingdings"/>
      </w:rPr>
    </w:lvl>
  </w:abstractNum>
  <w:abstractNum w:abstractNumId="31">
    <w:nsid w:val="55DC320C"/>
    <w:multiLevelType w:val="multilevel"/>
    <w:tmpl w:val="55DC320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9F52AF8"/>
    <w:multiLevelType w:val="multilevel"/>
    <w:tmpl w:val="59F52AF8"/>
    <w:lvl w:ilvl="0" w:tentative="0">
      <w:start w:val="1"/>
      <w:numFmt w:val="decimal"/>
      <w:pStyle w:val="283"/>
      <w:lvlText w:val="%1)"/>
      <w:lvlJc w:val="left"/>
      <w:pPr>
        <w:tabs>
          <w:tab w:val="left" w:pos="0"/>
        </w:tabs>
        <w:ind w:left="982" w:hanging="420"/>
      </w:pPr>
    </w:lvl>
    <w:lvl w:ilvl="1" w:tentative="0">
      <w:start w:val="1"/>
      <w:numFmt w:val="lowerLetter"/>
      <w:pStyle w:val="280"/>
      <w:lvlText w:val="%2)"/>
      <w:lvlJc w:val="left"/>
      <w:pPr>
        <w:tabs>
          <w:tab w:val="left" w:pos="0"/>
        </w:tabs>
        <w:ind w:left="1402" w:hanging="420"/>
      </w:pPr>
    </w:lvl>
    <w:lvl w:ilvl="2" w:tentative="0">
      <w:start w:val="1"/>
      <w:numFmt w:val="lowerRoman"/>
      <w:pStyle w:val="281"/>
      <w:lvlText w:val="%3."/>
      <w:lvlJc w:val="right"/>
      <w:pPr>
        <w:tabs>
          <w:tab w:val="left" w:pos="0"/>
        </w:tabs>
        <w:ind w:left="1822" w:hanging="420"/>
      </w:pPr>
    </w:lvl>
    <w:lvl w:ilvl="3" w:tentative="0">
      <w:start w:val="1"/>
      <w:numFmt w:val="decimal"/>
      <w:lvlText w:val="%4."/>
      <w:lvlJc w:val="left"/>
      <w:pPr>
        <w:tabs>
          <w:tab w:val="left" w:pos="0"/>
        </w:tabs>
        <w:ind w:left="2242" w:hanging="420"/>
      </w:pPr>
    </w:lvl>
    <w:lvl w:ilvl="4" w:tentative="0">
      <w:start w:val="1"/>
      <w:numFmt w:val="lowerLetter"/>
      <w:lvlText w:val="%5)"/>
      <w:lvlJc w:val="left"/>
      <w:pPr>
        <w:tabs>
          <w:tab w:val="left" w:pos="0"/>
        </w:tabs>
        <w:ind w:left="2662" w:hanging="420"/>
      </w:pPr>
    </w:lvl>
    <w:lvl w:ilvl="5" w:tentative="0">
      <w:start w:val="1"/>
      <w:numFmt w:val="lowerRoman"/>
      <w:lvlText w:val="%6."/>
      <w:lvlJc w:val="right"/>
      <w:pPr>
        <w:tabs>
          <w:tab w:val="left" w:pos="0"/>
        </w:tabs>
        <w:ind w:left="3082" w:hanging="420"/>
      </w:pPr>
    </w:lvl>
    <w:lvl w:ilvl="6" w:tentative="0">
      <w:start w:val="1"/>
      <w:numFmt w:val="decimal"/>
      <w:lvlText w:val="%7."/>
      <w:lvlJc w:val="left"/>
      <w:pPr>
        <w:tabs>
          <w:tab w:val="left" w:pos="0"/>
        </w:tabs>
        <w:ind w:left="3502" w:hanging="420"/>
      </w:pPr>
    </w:lvl>
    <w:lvl w:ilvl="7" w:tentative="0">
      <w:start w:val="1"/>
      <w:numFmt w:val="lowerLetter"/>
      <w:lvlText w:val="%8)"/>
      <w:lvlJc w:val="left"/>
      <w:pPr>
        <w:tabs>
          <w:tab w:val="left" w:pos="0"/>
        </w:tabs>
        <w:ind w:left="3922" w:hanging="420"/>
      </w:pPr>
    </w:lvl>
    <w:lvl w:ilvl="8" w:tentative="0">
      <w:start w:val="1"/>
      <w:numFmt w:val="lowerRoman"/>
      <w:lvlText w:val="%9."/>
      <w:lvlJc w:val="right"/>
      <w:pPr>
        <w:tabs>
          <w:tab w:val="left" w:pos="0"/>
        </w:tabs>
        <w:ind w:left="4342" w:hanging="420"/>
      </w:pPr>
    </w:lvl>
  </w:abstractNum>
  <w:abstractNum w:abstractNumId="33">
    <w:nsid w:val="5B5AF7FA"/>
    <w:multiLevelType w:val="multilevel"/>
    <w:tmpl w:val="5B5AF7FA"/>
    <w:lvl w:ilvl="0" w:tentative="0">
      <w:start w:val="1"/>
      <w:numFmt w:val="decimal"/>
      <w:pStyle w:val="285"/>
      <w:lvlText w:val="%1)"/>
      <w:lvlJc w:val="left"/>
      <w:pPr>
        <w:tabs>
          <w:tab w:val="left" w:pos="0"/>
        </w:tabs>
        <w:ind w:left="980" w:hanging="420"/>
      </w:pPr>
      <w:rPr>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34">
    <w:nsid w:val="5D34656E"/>
    <w:multiLevelType w:val="multilevel"/>
    <w:tmpl w:val="5D34656E"/>
    <w:lvl w:ilvl="0" w:tentative="0">
      <w:start w:val="1"/>
      <w:numFmt w:val="bullet"/>
      <w:pStyle w:val="14"/>
      <w:lvlText w:val=""/>
      <w:lvlJc w:val="left"/>
      <w:pPr>
        <w:tabs>
          <w:tab w:val="left" w:pos="0"/>
        </w:tabs>
        <w:ind w:left="988" w:hanging="420"/>
      </w:pPr>
      <w:rPr>
        <w:rFonts w:hint="default" w:ascii="Wingdings" w:hAnsi="Wingdings"/>
      </w:rPr>
    </w:lvl>
    <w:lvl w:ilvl="1" w:tentative="0">
      <w:start w:val="1"/>
      <w:numFmt w:val="bullet"/>
      <w:lvlText w:val=""/>
      <w:lvlJc w:val="left"/>
      <w:pPr>
        <w:tabs>
          <w:tab w:val="left" w:pos="0"/>
        </w:tabs>
        <w:ind w:left="1400" w:hanging="420"/>
      </w:pPr>
      <w:rPr>
        <w:rFonts w:hint="default" w:ascii="Wingdings" w:hAnsi="Wingdings"/>
      </w:rPr>
    </w:lvl>
    <w:lvl w:ilvl="2" w:tentative="0">
      <w:start w:val="1"/>
      <w:numFmt w:val="bullet"/>
      <w:lvlText w:val=""/>
      <w:lvlJc w:val="left"/>
      <w:pPr>
        <w:tabs>
          <w:tab w:val="left" w:pos="0"/>
        </w:tabs>
        <w:ind w:left="1820" w:hanging="420"/>
      </w:pPr>
      <w:rPr>
        <w:rFonts w:hint="default" w:ascii="Wingdings" w:hAnsi="Wingdings"/>
      </w:rPr>
    </w:lvl>
    <w:lvl w:ilvl="3" w:tentative="0">
      <w:start w:val="1"/>
      <w:numFmt w:val="bullet"/>
      <w:lvlText w:val=""/>
      <w:lvlJc w:val="left"/>
      <w:pPr>
        <w:tabs>
          <w:tab w:val="left" w:pos="0"/>
        </w:tabs>
        <w:ind w:left="2240" w:hanging="420"/>
      </w:pPr>
      <w:rPr>
        <w:rFonts w:hint="default" w:ascii="Wingdings" w:hAnsi="Wingdings"/>
      </w:rPr>
    </w:lvl>
    <w:lvl w:ilvl="4" w:tentative="0">
      <w:start w:val="1"/>
      <w:numFmt w:val="bullet"/>
      <w:lvlText w:val=""/>
      <w:lvlJc w:val="left"/>
      <w:pPr>
        <w:tabs>
          <w:tab w:val="left" w:pos="0"/>
        </w:tabs>
        <w:ind w:left="2660" w:hanging="420"/>
      </w:pPr>
      <w:rPr>
        <w:rFonts w:hint="default" w:ascii="Wingdings" w:hAnsi="Wingdings"/>
      </w:rPr>
    </w:lvl>
    <w:lvl w:ilvl="5" w:tentative="0">
      <w:start w:val="1"/>
      <w:numFmt w:val="bullet"/>
      <w:lvlText w:val=""/>
      <w:lvlJc w:val="left"/>
      <w:pPr>
        <w:tabs>
          <w:tab w:val="left" w:pos="0"/>
        </w:tabs>
        <w:ind w:left="3080" w:hanging="420"/>
      </w:pPr>
      <w:rPr>
        <w:rFonts w:hint="default" w:ascii="Wingdings" w:hAnsi="Wingdings"/>
      </w:rPr>
    </w:lvl>
    <w:lvl w:ilvl="6" w:tentative="0">
      <w:start w:val="1"/>
      <w:numFmt w:val="bullet"/>
      <w:lvlText w:val=""/>
      <w:lvlJc w:val="left"/>
      <w:pPr>
        <w:tabs>
          <w:tab w:val="left" w:pos="0"/>
        </w:tabs>
        <w:ind w:left="3500" w:hanging="420"/>
      </w:pPr>
      <w:rPr>
        <w:rFonts w:hint="default" w:ascii="Wingdings" w:hAnsi="Wingdings"/>
      </w:rPr>
    </w:lvl>
    <w:lvl w:ilvl="7" w:tentative="0">
      <w:start w:val="1"/>
      <w:numFmt w:val="bullet"/>
      <w:lvlText w:val=""/>
      <w:lvlJc w:val="left"/>
      <w:pPr>
        <w:tabs>
          <w:tab w:val="left" w:pos="0"/>
        </w:tabs>
        <w:ind w:left="3920" w:hanging="420"/>
      </w:pPr>
      <w:rPr>
        <w:rFonts w:hint="default" w:ascii="Wingdings" w:hAnsi="Wingdings"/>
      </w:rPr>
    </w:lvl>
    <w:lvl w:ilvl="8" w:tentative="0">
      <w:start w:val="1"/>
      <w:numFmt w:val="bullet"/>
      <w:lvlText w:val=""/>
      <w:lvlJc w:val="left"/>
      <w:pPr>
        <w:tabs>
          <w:tab w:val="left" w:pos="0"/>
        </w:tabs>
        <w:ind w:left="4340" w:hanging="420"/>
      </w:pPr>
      <w:rPr>
        <w:rFonts w:hint="default" w:ascii="Wingdings" w:hAnsi="Wingdings"/>
      </w:rPr>
    </w:lvl>
  </w:abstractNum>
  <w:abstractNum w:abstractNumId="35">
    <w:nsid w:val="64253DA1"/>
    <w:multiLevelType w:val="multilevel"/>
    <w:tmpl w:val="64253DA1"/>
    <w:lvl w:ilvl="0" w:tentative="0">
      <w:start w:val="1"/>
      <w:numFmt w:val="decimal"/>
      <w:suff w:val="nothing"/>
      <w:lvlText w:val="%1"/>
      <w:lvlJc w:val="left"/>
      <w:pPr>
        <w:tabs>
          <w:tab w:val="left" w:pos="0"/>
        </w:tabs>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36">
    <w:nsid w:val="6C7D42E0"/>
    <w:multiLevelType w:val="multilevel"/>
    <w:tmpl w:val="6C7D42E0"/>
    <w:lvl w:ilvl="0" w:tentative="0">
      <w:start w:val="1"/>
      <w:numFmt w:val="decimal"/>
      <w:lvlText w:val="%1."/>
      <w:lvlJc w:val="left"/>
      <w:pPr>
        <w:ind w:left="420" w:hanging="420"/>
      </w:pPr>
      <w:rPr>
        <w:rFonts w:hint="eastAsia"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34F656C"/>
    <w:multiLevelType w:val="multilevel"/>
    <w:tmpl w:val="734F656C"/>
    <w:lvl w:ilvl="0" w:tentative="0">
      <w:start w:val="1"/>
      <w:numFmt w:val="decimal"/>
      <w:suff w:val="nothing"/>
      <w:lvlText w:val="%1"/>
      <w:lvlJc w:val="left"/>
      <w:pPr>
        <w:tabs>
          <w:tab w:val="left" w:pos="0"/>
        </w:tabs>
        <w:ind w:left="63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8">
    <w:nsid w:val="797F14BE"/>
    <w:multiLevelType w:val="singleLevel"/>
    <w:tmpl w:val="797F14BE"/>
    <w:lvl w:ilvl="0" w:tentative="0">
      <w:start w:val="1"/>
      <w:numFmt w:val="bullet"/>
      <w:pStyle w:val="44"/>
      <w:lvlText w:val=""/>
      <w:lvlJc w:val="left"/>
      <w:pPr>
        <w:tabs>
          <w:tab w:val="left" w:pos="2040"/>
        </w:tabs>
        <w:ind w:left="2040" w:hanging="360"/>
      </w:pPr>
      <w:rPr>
        <w:rFonts w:hint="default" w:ascii="Wingdings" w:hAnsi="Wingdings"/>
      </w:rPr>
    </w:lvl>
  </w:abstractNum>
  <w:num w:numId="1">
    <w:abstractNumId w:val="14"/>
  </w:num>
  <w:num w:numId="2">
    <w:abstractNumId w:val="34"/>
  </w:num>
  <w:num w:numId="3">
    <w:abstractNumId w:val="27"/>
  </w:num>
  <w:num w:numId="4">
    <w:abstractNumId w:val="26"/>
  </w:num>
  <w:num w:numId="5">
    <w:abstractNumId w:val="25"/>
  </w:num>
  <w:num w:numId="6">
    <w:abstractNumId w:val="5"/>
  </w:num>
  <w:num w:numId="7">
    <w:abstractNumId w:val="29"/>
  </w:num>
  <w:num w:numId="8">
    <w:abstractNumId w:val="38"/>
  </w:num>
  <w:num w:numId="9">
    <w:abstractNumId w:val="13"/>
  </w:num>
  <w:num w:numId="10">
    <w:abstractNumId w:val="24"/>
  </w:num>
  <w:num w:numId="11">
    <w:abstractNumId w:val="19"/>
  </w:num>
  <w:num w:numId="12">
    <w:abstractNumId w:val="17"/>
  </w:num>
  <w:num w:numId="13">
    <w:abstractNumId w:val="16"/>
  </w:num>
  <w:num w:numId="14">
    <w:abstractNumId w:val="30"/>
  </w:num>
  <w:num w:numId="15">
    <w:abstractNumId w:val="0"/>
  </w:num>
  <w:num w:numId="16">
    <w:abstractNumId w:val="2"/>
  </w:num>
  <w:num w:numId="17">
    <w:abstractNumId w:val="4"/>
  </w:num>
  <w:num w:numId="18">
    <w:abstractNumId w:val="6"/>
  </w:num>
  <w:num w:numId="19">
    <w:abstractNumId w:val="21"/>
  </w:num>
  <w:num w:numId="20">
    <w:abstractNumId w:val="8"/>
  </w:num>
  <w:num w:numId="21">
    <w:abstractNumId w:val="18"/>
  </w:num>
  <w:num w:numId="22">
    <w:abstractNumId w:val="11"/>
  </w:num>
  <w:num w:numId="23">
    <w:abstractNumId w:val="3"/>
  </w:num>
  <w:num w:numId="24">
    <w:abstractNumId w:val="12"/>
  </w:num>
  <w:num w:numId="25">
    <w:abstractNumId w:val="32"/>
  </w:num>
  <w:num w:numId="26">
    <w:abstractNumId w:val="33"/>
  </w:num>
  <w:num w:numId="27">
    <w:abstractNumId w:val="9"/>
  </w:num>
  <w:num w:numId="28">
    <w:abstractNumId w:val="7"/>
  </w:num>
  <w:num w:numId="29">
    <w:abstractNumId w:val="10"/>
  </w:num>
  <w:num w:numId="30">
    <w:abstractNumId w:val="1"/>
  </w:num>
  <w:num w:numId="31">
    <w:abstractNumId w:val="15"/>
  </w:num>
  <w:num w:numId="32">
    <w:abstractNumId w:val="37"/>
  </w:num>
  <w:num w:numId="33">
    <w:abstractNumId w:val="35"/>
  </w:num>
  <w:num w:numId="34">
    <w:abstractNumId w:val="20"/>
  </w:num>
  <w:num w:numId="35">
    <w:abstractNumId w:val="23"/>
  </w:num>
  <w:num w:numId="36">
    <w:abstractNumId w:val="22"/>
  </w:num>
  <w:num w:numId="37">
    <w:abstractNumId w:val="36"/>
  </w:num>
  <w:num w:numId="38">
    <w:abstractNumId w:val="3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23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NzIwNzA4ZTJjN2M2YzAzODJmMmZmNWFlZjU1OTAifQ=="/>
  </w:docVars>
  <w:rsids>
    <w:rsidRoot w:val="006C5683"/>
    <w:rsid w:val="000017FA"/>
    <w:rsid w:val="000027F1"/>
    <w:rsid w:val="00003511"/>
    <w:rsid w:val="00004AEC"/>
    <w:rsid w:val="00005B02"/>
    <w:rsid w:val="000060D0"/>
    <w:rsid w:val="00006D88"/>
    <w:rsid w:val="00010C75"/>
    <w:rsid w:val="000145F4"/>
    <w:rsid w:val="0001650A"/>
    <w:rsid w:val="000200F4"/>
    <w:rsid w:val="00020BF0"/>
    <w:rsid w:val="00021C95"/>
    <w:rsid w:val="00022110"/>
    <w:rsid w:val="00026251"/>
    <w:rsid w:val="000355DB"/>
    <w:rsid w:val="000379AC"/>
    <w:rsid w:val="00040351"/>
    <w:rsid w:val="00040661"/>
    <w:rsid w:val="0004289B"/>
    <w:rsid w:val="00043266"/>
    <w:rsid w:val="00044738"/>
    <w:rsid w:val="00045A4A"/>
    <w:rsid w:val="000478B3"/>
    <w:rsid w:val="000504E9"/>
    <w:rsid w:val="0005491F"/>
    <w:rsid w:val="0005598B"/>
    <w:rsid w:val="00055B0A"/>
    <w:rsid w:val="00055C0E"/>
    <w:rsid w:val="000562DD"/>
    <w:rsid w:val="000601A3"/>
    <w:rsid w:val="0006047C"/>
    <w:rsid w:val="00061424"/>
    <w:rsid w:val="00062150"/>
    <w:rsid w:val="00063076"/>
    <w:rsid w:val="00063A10"/>
    <w:rsid w:val="00065D87"/>
    <w:rsid w:val="00065F3F"/>
    <w:rsid w:val="00066E2A"/>
    <w:rsid w:val="000675EA"/>
    <w:rsid w:val="00070E31"/>
    <w:rsid w:val="00073781"/>
    <w:rsid w:val="000761F4"/>
    <w:rsid w:val="00076C4E"/>
    <w:rsid w:val="000775F2"/>
    <w:rsid w:val="00077C1C"/>
    <w:rsid w:val="0008483B"/>
    <w:rsid w:val="00086ED9"/>
    <w:rsid w:val="00087CC7"/>
    <w:rsid w:val="00090EAE"/>
    <w:rsid w:val="00092DD1"/>
    <w:rsid w:val="0009300C"/>
    <w:rsid w:val="000942A1"/>
    <w:rsid w:val="00094482"/>
    <w:rsid w:val="00094AC1"/>
    <w:rsid w:val="00094AC5"/>
    <w:rsid w:val="00094CE9"/>
    <w:rsid w:val="000A06B5"/>
    <w:rsid w:val="000A1509"/>
    <w:rsid w:val="000A1C1D"/>
    <w:rsid w:val="000A3668"/>
    <w:rsid w:val="000A4BA3"/>
    <w:rsid w:val="000A636C"/>
    <w:rsid w:val="000A65DB"/>
    <w:rsid w:val="000B054C"/>
    <w:rsid w:val="000C0489"/>
    <w:rsid w:val="000C27F8"/>
    <w:rsid w:val="000C2ED1"/>
    <w:rsid w:val="000C36E3"/>
    <w:rsid w:val="000C49EB"/>
    <w:rsid w:val="000C4EC9"/>
    <w:rsid w:val="000C5C2B"/>
    <w:rsid w:val="000D05BA"/>
    <w:rsid w:val="000D649C"/>
    <w:rsid w:val="000E06EB"/>
    <w:rsid w:val="000E2F6C"/>
    <w:rsid w:val="000E55A6"/>
    <w:rsid w:val="000E5A5F"/>
    <w:rsid w:val="000E5C46"/>
    <w:rsid w:val="000E7652"/>
    <w:rsid w:val="000F18A9"/>
    <w:rsid w:val="000F5162"/>
    <w:rsid w:val="000F5CC5"/>
    <w:rsid w:val="000F5E31"/>
    <w:rsid w:val="000F5F2D"/>
    <w:rsid w:val="000F6D23"/>
    <w:rsid w:val="0010331A"/>
    <w:rsid w:val="0010394D"/>
    <w:rsid w:val="001052B1"/>
    <w:rsid w:val="001061B4"/>
    <w:rsid w:val="00107D53"/>
    <w:rsid w:val="00107EB0"/>
    <w:rsid w:val="0011106F"/>
    <w:rsid w:val="00113686"/>
    <w:rsid w:val="00116B2C"/>
    <w:rsid w:val="00122DBE"/>
    <w:rsid w:val="00122F14"/>
    <w:rsid w:val="001230F7"/>
    <w:rsid w:val="001264C4"/>
    <w:rsid w:val="00126858"/>
    <w:rsid w:val="00127026"/>
    <w:rsid w:val="00127E5A"/>
    <w:rsid w:val="00130483"/>
    <w:rsid w:val="00130521"/>
    <w:rsid w:val="001314E7"/>
    <w:rsid w:val="00131A80"/>
    <w:rsid w:val="00132428"/>
    <w:rsid w:val="001343B6"/>
    <w:rsid w:val="00134697"/>
    <w:rsid w:val="001348E0"/>
    <w:rsid w:val="00134C01"/>
    <w:rsid w:val="00136AEC"/>
    <w:rsid w:val="001379AF"/>
    <w:rsid w:val="00140435"/>
    <w:rsid w:val="00140FE1"/>
    <w:rsid w:val="001413BF"/>
    <w:rsid w:val="00141882"/>
    <w:rsid w:val="00141A1B"/>
    <w:rsid w:val="00144851"/>
    <w:rsid w:val="001500F5"/>
    <w:rsid w:val="00150618"/>
    <w:rsid w:val="00150D74"/>
    <w:rsid w:val="00151BCC"/>
    <w:rsid w:val="00154382"/>
    <w:rsid w:val="00154962"/>
    <w:rsid w:val="00154B08"/>
    <w:rsid w:val="001569BD"/>
    <w:rsid w:val="0016088B"/>
    <w:rsid w:val="00162E69"/>
    <w:rsid w:val="001635E6"/>
    <w:rsid w:val="001659CA"/>
    <w:rsid w:val="00167FEB"/>
    <w:rsid w:val="00170513"/>
    <w:rsid w:val="00171DEE"/>
    <w:rsid w:val="0017394E"/>
    <w:rsid w:val="00174CFF"/>
    <w:rsid w:val="0018016B"/>
    <w:rsid w:val="001824A0"/>
    <w:rsid w:val="00182DA1"/>
    <w:rsid w:val="00183BFA"/>
    <w:rsid w:val="0018428F"/>
    <w:rsid w:val="00184350"/>
    <w:rsid w:val="001843F3"/>
    <w:rsid w:val="0018549E"/>
    <w:rsid w:val="001860D3"/>
    <w:rsid w:val="001914F1"/>
    <w:rsid w:val="00191B0F"/>
    <w:rsid w:val="001932DD"/>
    <w:rsid w:val="0019369C"/>
    <w:rsid w:val="00194FEA"/>
    <w:rsid w:val="00195297"/>
    <w:rsid w:val="001965F1"/>
    <w:rsid w:val="0019688B"/>
    <w:rsid w:val="001969A0"/>
    <w:rsid w:val="001A102D"/>
    <w:rsid w:val="001A2318"/>
    <w:rsid w:val="001A3552"/>
    <w:rsid w:val="001A40BB"/>
    <w:rsid w:val="001A4F3A"/>
    <w:rsid w:val="001A51FD"/>
    <w:rsid w:val="001A6AD1"/>
    <w:rsid w:val="001A7128"/>
    <w:rsid w:val="001A7216"/>
    <w:rsid w:val="001A797B"/>
    <w:rsid w:val="001B12D5"/>
    <w:rsid w:val="001B37C0"/>
    <w:rsid w:val="001B464A"/>
    <w:rsid w:val="001B47E7"/>
    <w:rsid w:val="001B577E"/>
    <w:rsid w:val="001C3AD2"/>
    <w:rsid w:val="001D1DCD"/>
    <w:rsid w:val="001D22A3"/>
    <w:rsid w:val="001D2A82"/>
    <w:rsid w:val="001D2F7C"/>
    <w:rsid w:val="001D38D1"/>
    <w:rsid w:val="001D3D19"/>
    <w:rsid w:val="001D6978"/>
    <w:rsid w:val="001D794F"/>
    <w:rsid w:val="001E1199"/>
    <w:rsid w:val="001E1F04"/>
    <w:rsid w:val="001E2C66"/>
    <w:rsid w:val="001E3A30"/>
    <w:rsid w:val="001E43CD"/>
    <w:rsid w:val="001E4F73"/>
    <w:rsid w:val="001E53F4"/>
    <w:rsid w:val="001E5464"/>
    <w:rsid w:val="001E609A"/>
    <w:rsid w:val="001E6B73"/>
    <w:rsid w:val="001E7D7C"/>
    <w:rsid w:val="001F20D4"/>
    <w:rsid w:val="001F41DC"/>
    <w:rsid w:val="001F5680"/>
    <w:rsid w:val="001F78BB"/>
    <w:rsid w:val="0020226C"/>
    <w:rsid w:val="00202B8F"/>
    <w:rsid w:val="0020377D"/>
    <w:rsid w:val="00204419"/>
    <w:rsid w:val="00204DEC"/>
    <w:rsid w:val="00205CE6"/>
    <w:rsid w:val="002073AB"/>
    <w:rsid w:val="002100D0"/>
    <w:rsid w:val="002100F4"/>
    <w:rsid w:val="002111EC"/>
    <w:rsid w:val="00216F17"/>
    <w:rsid w:val="002171F6"/>
    <w:rsid w:val="002251B8"/>
    <w:rsid w:val="0022630B"/>
    <w:rsid w:val="00231371"/>
    <w:rsid w:val="00232170"/>
    <w:rsid w:val="0024055A"/>
    <w:rsid w:val="00244979"/>
    <w:rsid w:val="002478CB"/>
    <w:rsid w:val="00247BA2"/>
    <w:rsid w:val="00250F84"/>
    <w:rsid w:val="00251762"/>
    <w:rsid w:val="002527B0"/>
    <w:rsid w:val="002546DA"/>
    <w:rsid w:val="00254FC7"/>
    <w:rsid w:val="002563D1"/>
    <w:rsid w:val="00256808"/>
    <w:rsid w:val="002579BB"/>
    <w:rsid w:val="00260505"/>
    <w:rsid w:val="00261EF9"/>
    <w:rsid w:val="002624AB"/>
    <w:rsid w:val="002641FB"/>
    <w:rsid w:val="00264F1A"/>
    <w:rsid w:val="00265C84"/>
    <w:rsid w:val="002671FB"/>
    <w:rsid w:val="00267C7A"/>
    <w:rsid w:val="002712D5"/>
    <w:rsid w:val="00275A7B"/>
    <w:rsid w:val="00275F53"/>
    <w:rsid w:val="00276053"/>
    <w:rsid w:val="00276521"/>
    <w:rsid w:val="00277361"/>
    <w:rsid w:val="002774AE"/>
    <w:rsid w:val="0028141F"/>
    <w:rsid w:val="0028145D"/>
    <w:rsid w:val="00283027"/>
    <w:rsid w:val="00286E2B"/>
    <w:rsid w:val="002876E0"/>
    <w:rsid w:val="00287754"/>
    <w:rsid w:val="00291058"/>
    <w:rsid w:val="0029281A"/>
    <w:rsid w:val="00292F16"/>
    <w:rsid w:val="0029564A"/>
    <w:rsid w:val="00296E9D"/>
    <w:rsid w:val="0029708A"/>
    <w:rsid w:val="0029791C"/>
    <w:rsid w:val="002A1A37"/>
    <w:rsid w:val="002A283D"/>
    <w:rsid w:val="002A41E8"/>
    <w:rsid w:val="002A472D"/>
    <w:rsid w:val="002A7241"/>
    <w:rsid w:val="002B1EB2"/>
    <w:rsid w:val="002B209F"/>
    <w:rsid w:val="002B6A0E"/>
    <w:rsid w:val="002C20D2"/>
    <w:rsid w:val="002C2236"/>
    <w:rsid w:val="002C244A"/>
    <w:rsid w:val="002C3899"/>
    <w:rsid w:val="002C4CCE"/>
    <w:rsid w:val="002C599B"/>
    <w:rsid w:val="002D0511"/>
    <w:rsid w:val="002D1468"/>
    <w:rsid w:val="002D3711"/>
    <w:rsid w:val="002D6E9A"/>
    <w:rsid w:val="002D7843"/>
    <w:rsid w:val="002E2099"/>
    <w:rsid w:val="002E2807"/>
    <w:rsid w:val="002E2834"/>
    <w:rsid w:val="002E3519"/>
    <w:rsid w:val="002E51B7"/>
    <w:rsid w:val="002E646F"/>
    <w:rsid w:val="002E7118"/>
    <w:rsid w:val="002F0C64"/>
    <w:rsid w:val="002F11E5"/>
    <w:rsid w:val="002F2F4A"/>
    <w:rsid w:val="00303E1C"/>
    <w:rsid w:val="00305A66"/>
    <w:rsid w:val="003066BF"/>
    <w:rsid w:val="00310317"/>
    <w:rsid w:val="00312064"/>
    <w:rsid w:val="00312722"/>
    <w:rsid w:val="00320E76"/>
    <w:rsid w:val="00321D5A"/>
    <w:rsid w:val="00330C9E"/>
    <w:rsid w:val="0033176D"/>
    <w:rsid w:val="0033338D"/>
    <w:rsid w:val="0033425C"/>
    <w:rsid w:val="00334C79"/>
    <w:rsid w:val="00335B0B"/>
    <w:rsid w:val="003403E4"/>
    <w:rsid w:val="003404BA"/>
    <w:rsid w:val="00344970"/>
    <w:rsid w:val="00346259"/>
    <w:rsid w:val="0035081D"/>
    <w:rsid w:val="00351012"/>
    <w:rsid w:val="00351229"/>
    <w:rsid w:val="0035158F"/>
    <w:rsid w:val="003546A2"/>
    <w:rsid w:val="00355AE1"/>
    <w:rsid w:val="00357827"/>
    <w:rsid w:val="0036283F"/>
    <w:rsid w:val="00364935"/>
    <w:rsid w:val="00365B87"/>
    <w:rsid w:val="00366DC6"/>
    <w:rsid w:val="0036797B"/>
    <w:rsid w:val="003718D3"/>
    <w:rsid w:val="00377A00"/>
    <w:rsid w:val="00380033"/>
    <w:rsid w:val="0038016C"/>
    <w:rsid w:val="00380A89"/>
    <w:rsid w:val="00382EE2"/>
    <w:rsid w:val="003918A5"/>
    <w:rsid w:val="003967C1"/>
    <w:rsid w:val="00396F92"/>
    <w:rsid w:val="00396FB1"/>
    <w:rsid w:val="003A11B6"/>
    <w:rsid w:val="003A1A37"/>
    <w:rsid w:val="003A23C5"/>
    <w:rsid w:val="003A2807"/>
    <w:rsid w:val="003A29A8"/>
    <w:rsid w:val="003A69BD"/>
    <w:rsid w:val="003B2D01"/>
    <w:rsid w:val="003C20E2"/>
    <w:rsid w:val="003C284E"/>
    <w:rsid w:val="003C30DF"/>
    <w:rsid w:val="003C532C"/>
    <w:rsid w:val="003C5917"/>
    <w:rsid w:val="003C5D58"/>
    <w:rsid w:val="003D0533"/>
    <w:rsid w:val="003D1BCB"/>
    <w:rsid w:val="003D258F"/>
    <w:rsid w:val="003D3777"/>
    <w:rsid w:val="003D428F"/>
    <w:rsid w:val="003D73B8"/>
    <w:rsid w:val="003E1758"/>
    <w:rsid w:val="003E2663"/>
    <w:rsid w:val="003E332C"/>
    <w:rsid w:val="003E4400"/>
    <w:rsid w:val="003E4ADE"/>
    <w:rsid w:val="003E568D"/>
    <w:rsid w:val="003E6FC6"/>
    <w:rsid w:val="003E7DD2"/>
    <w:rsid w:val="003F0670"/>
    <w:rsid w:val="003F1948"/>
    <w:rsid w:val="003F1B79"/>
    <w:rsid w:val="003F35D1"/>
    <w:rsid w:val="003F4A23"/>
    <w:rsid w:val="003F55CF"/>
    <w:rsid w:val="003F5B73"/>
    <w:rsid w:val="003F646F"/>
    <w:rsid w:val="003F66AC"/>
    <w:rsid w:val="00400128"/>
    <w:rsid w:val="0040029A"/>
    <w:rsid w:val="004029A6"/>
    <w:rsid w:val="00402F04"/>
    <w:rsid w:val="0040573B"/>
    <w:rsid w:val="00407177"/>
    <w:rsid w:val="00407DAD"/>
    <w:rsid w:val="0041251C"/>
    <w:rsid w:val="00413B34"/>
    <w:rsid w:val="00413DD2"/>
    <w:rsid w:val="0041507C"/>
    <w:rsid w:val="00415193"/>
    <w:rsid w:val="00416C95"/>
    <w:rsid w:val="00416E40"/>
    <w:rsid w:val="00420CE9"/>
    <w:rsid w:val="00421F60"/>
    <w:rsid w:val="004278EE"/>
    <w:rsid w:val="004304A1"/>
    <w:rsid w:val="00430759"/>
    <w:rsid w:val="004308FB"/>
    <w:rsid w:val="004309DD"/>
    <w:rsid w:val="00430D70"/>
    <w:rsid w:val="00432341"/>
    <w:rsid w:val="00434697"/>
    <w:rsid w:val="00436F66"/>
    <w:rsid w:val="004408C5"/>
    <w:rsid w:val="00442383"/>
    <w:rsid w:val="00443E4D"/>
    <w:rsid w:val="00445517"/>
    <w:rsid w:val="00445936"/>
    <w:rsid w:val="00445A95"/>
    <w:rsid w:val="00445E71"/>
    <w:rsid w:val="0044767F"/>
    <w:rsid w:val="00452A34"/>
    <w:rsid w:val="004530B6"/>
    <w:rsid w:val="0045352A"/>
    <w:rsid w:val="004549E5"/>
    <w:rsid w:val="00457EC8"/>
    <w:rsid w:val="00461747"/>
    <w:rsid w:val="00461E96"/>
    <w:rsid w:val="004654FC"/>
    <w:rsid w:val="00466872"/>
    <w:rsid w:val="004707C8"/>
    <w:rsid w:val="00471610"/>
    <w:rsid w:val="004716CA"/>
    <w:rsid w:val="004722D5"/>
    <w:rsid w:val="00472487"/>
    <w:rsid w:val="0047596E"/>
    <w:rsid w:val="0047663E"/>
    <w:rsid w:val="004768AA"/>
    <w:rsid w:val="0047798F"/>
    <w:rsid w:val="00481172"/>
    <w:rsid w:val="004870C4"/>
    <w:rsid w:val="00487CD6"/>
    <w:rsid w:val="004915A6"/>
    <w:rsid w:val="00492AD7"/>
    <w:rsid w:val="0049306C"/>
    <w:rsid w:val="00493A43"/>
    <w:rsid w:val="004968E5"/>
    <w:rsid w:val="004977B4"/>
    <w:rsid w:val="004A0030"/>
    <w:rsid w:val="004A0AB8"/>
    <w:rsid w:val="004A2984"/>
    <w:rsid w:val="004A357A"/>
    <w:rsid w:val="004A6498"/>
    <w:rsid w:val="004B68DD"/>
    <w:rsid w:val="004C10D9"/>
    <w:rsid w:val="004C1449"/>
    <w:rsid w:val="004C6D45"/>
    <w:rsid w:val="004C6D48"/>
    <w:rsid w:val="004C744C"/>
    <w:rsid w:val="004D11E3"/>
    <w:rsid w:val="004D3335"/>
    <w:rsid w:val="004D6193"/>
    <w:rsid w:val="004E29FB"/>
    <w:rsid w:val="004E2A77"/>
    <w:rsid w:val="004F0A7D"/>
    <w:rsid w:val="004F1A79"/>
    <w:rsid w:val="004F205C"/>
    <w:rsid w:val="004F4551"/>
    <w:rsid w:val="004F588F"/>
    <w:rsid w:val="004F5923"/>
    <w:rsid w:val="004F6DA6"/>
    <w:rsid w:val="0050380D"/>
    <w:rsid w:val="005041DC"/>
    <w:rsid w:val="005113B1"/>
    <w:rsid w:val="005142E1"/>
    <w:rsid w:val="0051659D"/>
    <w:rsid w:val="00517E7F"/>
    <w:rsid w:val="00522031"/>
    <w:rsid w:val="00522FD9"/>
    <w:rsid w:val="00523874"/>
    <w:rsid w:val="00524325"/>
    <w:rsid w:val="00524528"/>
    <w:rsid w:val="0052453B"/>
    <w:rsid w:val="0052457C"/>
    <w:rsid w:val="0052578C"/>
    <w:rsid w:val="00526FAB"/>
    <w:rsid w:val="00527316"/>
    <w:rsid w:val="005274AC"/>
    <w:rsid w:val="00527AEA"/>
    <w:rsid w:val="00530782"/>
    <w:rsid w:val="00530C1E"/>
    <w:rsid w:val="005322C5"/>
    <w:rsid w:val="00533CE0"/>
    <w:rsid w:val="00542A52"/>
    <w:rsid w:val="00544B50"/>
    <w:rsid w:val="0054671B"/>
    <w:rsid w:val="00551018"/>
    <w:rsid w:val="005548D4"/>
    <w:rsid w:val="0055618B"/>
    <w:rsid w:val="00560838"/>
    <w:rsid w:val="005616ED"/>
    <w:rsid w:val="0056354C"/>
    <w:rsid w:val="005650DD"/>
    <w:rsid w:val="0056723E"/>
    <w:rsid w:val="00570399"/>
    <w:rsid w:val="0057405A"/>
    <w:rsid w:val="00574E81"/>
    <w:rsid w:val="00576909"/>
    <w:rsid w:val="005800AF"/>
    <w:rsid w:val="005814E4"/>
    <w:rsid w:val="005841CE"/>
    <w:rsid w:val="00584B9C"/>
    <w:rsid w:val="00585A00"/>
    <w:rsid w:val="005878D7"/>
    <w:rsid w:val="00592EF6"/>
    <w:rsid w:val="005947BE"/>
    <w:rsid w:val="005975A8"/>
    <w:rsid w:val="005A0B93"/>
    <w:rsid w:val="005A1E11"/>
    <w:rsid w:val="005A2234"/>
    <w:rsid w:val="005A3C6F"/>
    <w:rsid w:val="005A4946"/>
    <w:rsid w:val="005A6598"/>
    <w:rsid w:val="005B07F6"/>
    <w:rsid w:val="005B1420"/>
    <w:rsid w:val="005B226C"/>
    <w:rsid w:val="005B2864"/>
    <w:rsid w:val="005B402C"/>
    <w:rsid w:val="005B518B"/>
    <w:rsid w:val="005B61B6"/>
    <w:rsid w:val="005B65E7"/>
    <w:rsid w:val="005B79A1"/>
    <w:rsid w:val="005C0877"/>
    <w:rsid w:val="005C3A33"/>
    <w:rsid w:val="005C3ECC"/>
    <w:rsid w:val="005C5206"/>
    <w:rsid w:val="005C569E"/>
    <w:rsid w:val="005C58E1"/>
    <w:rsid w:val="005C733F"/>
    <w:rsid w:val="005D2327"/>
    <w:rsid w:val="005D3193"/>
    <w:rsid w:val="005D5406"/>
    <w:rsid w:val="005D5FFB"/>
    <w:rsid w:val="005D6FD4"/>
    <w:rsid w:val="005D7AD5"/>
    <w:rsid w:val="005E0EC1"/>
    <w:rsid w:val="005E14EB"/>
    <w:rsid w:val="005E4B08"/>
    <w:rsid w:val="005F03D4"/>
    <w:rsid w:val="005F1CB9"/>
    <w:rsid w:val="005F2A1C"/>
    <w:rsid w:val="005F31F4"/>
    <w:rsid w:val="005F349B"/>
    <w:rsid w:val="005F3ED4"/>
    <w:rsid w:val="0060196E"/>
    <w:rsid w:val="0060202F"/>
    <w:rsid w:val="00604F33"/>
    <w:rsid w:val="006100FA"/>
    <w:rsid w:val="00613C80"/>
    <w:rsid w:val="00615E12"/>
    <w:rsid w:val="00617512"/>
    <w:rsid w:val="006203E7"/>
    <w:rsid w:val="006207E0"/>
    <w:rsid w:val="00621EA9"/>
    <w:rsid w:val="006220D5"/>
    <w:rsid w:val="00623B5A"/>
    <w:rsid w:val="006244FE"/>
    <w:rsid w:val="00625737"/>
    <w:rsid w:val="006258C9"/>
    <w:rsid w:val="00625EB5"/>
    <w:rsid w:val="00626027"/>
    <w:rsid w:val="00626D79"/>
    <w:rsid w:val="00632225"/>
    <w:rsid w:val="006327AB"/>
    <w:rsid w:val="0063529A"/>
    <w:rsid w:val="006359A8"/>
    <w:rsid w:val="0063730A"/>
    <w:rsid w:val="00640179"/>
    <w:rsid w:val="00643EDE"/>
    <w:rsid w:val="00650A31"/>
    <w:rsid w:val="00650D2F"/>
    <w:rsid w:val="00650D62"/>
    <w:rsid w:val="00652509"/>
    <w:rsid w:val="00655FCA"/>
    <w:rsid w:val="0065616E"/>
    <w:rsid w:val="0065684A"/>
    <w:rsid w:val="0066186B"/>
    <w:rsid w:val="00661A90"/>
    <w:rsid w:val="00661D01"/>
    <w:rsid w:val="00663927"/>
    <w:rsid w:val="00663C73"/>
    <w:rsid w:val="006643C3"/>
    <w:rsid w:val="00664975"/>
    <w:rsid w:val="00665526"/>
    <w:rsid w:val="0066571C"/>
    <w:rsid w:val="00665BBE"/>
    <w:rsid w:val="00670CC0"/>
    <w:rsid w:val="00671873"/>
    <w:rsid w:val="006738BE"/>
    <w:rsid w:val="0067435A"/>
    <w:rsid w:val="0067445D"/>
    <w:rsid w:val="00674AB3"/>
    <w:rsid w:val="006755AB"/>
    <w:rsid w:val="00677694"/>
    <w:rsid w:val="006806B0"/>
    <w:rsid w:val="006817A0"/>
    <w:rsid w:val="00683272"/>
    <w:rsid w:val="006843CC"/>
    <w:rsid w:val="006867F0"/>
    <w:rsid w:val="00687CE4"/>
    <w:rsid w:val="00691283"/>
    <w:rsid w:val="00691729"/>
    <w:rsid w:val="00693FB1"/>
    <w:rsid w:val="006A0106"/>
    <w:rsid w:val="006A058F"/>
    <w:rsid w:val="006A761F"/>
    <w:rsid w:val="006B0F5E"/>
    <w:rsid w:val="006B628A"/>
    <w:rsid w:val="006B76F1"/>
    <w:rsid w:val="006C24BB"/>
    <w:rsid w:val="006C2A23"/>
    <w:rsid w:val="006C30FC"/>
    <w:rsid w:val="006C5683"/>
    <w:rsid w:val="006C69C1"/>
    <w:rsid w:val="006C75FC"/>
    <w:rsid w:val="006D089E"/>
    <w:rsid w:val="006D0D8D"/>
    <w:rsid w:val="006D25B0"/>
    <w:rsid w:val="006E4E42"/>
    <w:rsid w:val="006E5B5E"/>
    <w:rsid w:val="006E7320"/>
    <w:rsid w:val="006F27FD"/>
    <w:rsid w:val="006F4C74"/>
    <w:rsid w:val="006F7A23"/>
    <w:rsid w:val="006F7EA4"/>
    <w:rsid w:val="007006B5"/>
    <w:rsid w:val="00701191"/>
    <w:rsid w:val="00702DE8"/>
    <w:rsid w:val="0070452E"/>
    <w:rsid w:val="007045F9"/>
    <w:rsid w:val="00705002"/>
    <w:rsid w:val="0070525A"/>
    <w:rsid w:val="00705A42"/>
    <w:rsid w:val="00705C10"/>
    <w:rsid w:val="0070712B"/>
    <w:rsid w:val="0070728F"/>
    <w:rsid w:val="00710486"/>
    <w:rsid w:val="007106EC"/>
    <w:rsid w:val="00711336"/>
    <w:rsid w:val="007116B6"/>
    <w:rsid w:val="00713FAF"/>
    <w:rsid w:val="0071520B"/>
    <w:rsid w:val="0071615B"/>
    <w:rsid w:val="007176BA"/>
    <w:rsid w:val="00717DFC"/>
    <w:rsid w:val="00721722"/>
    <w:rsid w:val="00723C2D"/>
    <w:rsid w:val="007256BE"/>
    <w:rsid w:val="00727134"/>
    <w:rsid w:val="00730C9F"/>
    <w:rsid w:val="00731EBC"/>
    <w:rsid w:val="00732EA7"/>
    <w:rsid w:val="00733791"/>
    <w:rsid w:val="00735E86"/>
    <w:rsid w:val="00737AA3"/>
    <w:rsid w:val="00737D84"/>
    <w:rsid w:val="007444B3"/>
    <w:rsid w:val="00752614"/>
    <w:rsid w:val="00756C64"/>
    <w:rsid w:val="0075788D"/>
    <w:rsid w:val="00757EF5"/>
    <w:rsid w:val="0076041B"/>
    <w:rsid w:val="007622AE"/>
    <w:rsid w:val="007628F9"/>
    <w:rsid w:val="007644AF"/>
    <w:rsid w:val="0076471F"/>
    <w:rsid w:val="00765320"/>
    <w:rsid w:val="007660B0"/>
    <w:rsid w:val="0076610D"/>
    <w:rsid w:val="007668B2"/>
    <w:rsid w:val="007704B8"/>
    <w:rsid w:val="00770FAA"/>
    <w:rsid w:val="00772942"/>
    <w:rsid w:val="0077295F"/>
    <w:rsid w:val="0077442B"/>
    <w:rsid w:val="00774773"/>
    <w:rsid w:val="0077724D"/>
    <w:rsid w:val="00777370"/>
    <w:rsid w:val="00777E67"/>
    <w:rsid w:val="00780BCF"/>
    <w:rsid w:val="007828B7"/>
    <w:rsid w:val="00783F16"/>
    <w:rsid w:val="00784045"/>
    <w:rsid w:val="00785979"/>
    <w:rsid w:val="00785CC4"/>
    <w:rsid w:val="00785EE7"/>
    <w:rsid w:val="00791E8C"/>
    <w:rsid w:val="00793B23"/>
    <w:rsid w:val="007956E7"/>
    <w:rsid w:val="007A0D53"/>
    <w:rsid w:val="007A28E5"/>
    <w:rsid w:val="007A2B66"/>
    <w:rsid w:val="007A353C"/>
    <w:rsid w:val="007A49D6"/>
    <w:rsid w:val="007A4EA0"/>
    <w:rsid w:val="007A6670"/>
    <w:rsid w:val="007B32AD"/>
    <w:rsid w:val="007B47A9"/>
    <w:rsid w:val="007B5D75"/>
    <w:rsid w:val="007B7701"/>
    <w:rsid w:val="007B7BAA"/>
    <w:rsid w:val="007C038F"/>
    <w:rsid w:val="007C16E1"/>
    <w:rsid w:val="007C1751"/>
    <w:rsid w:val="007C2180"/>
    <w:rsid w:val="007C22FB"/>
    <w:rsid w:val="007C27BC"/>
    <w:rsid w:val="007C2EE8"/>
    <w:rsid w:val="007C3182"/>
    <w:rsid w:val="007C51F2"/>
    <w:rsid w:val="007C543B"/>
    <w:rsid w:val="007C55A4"/>
    <w:rsid w:val="007D494D"/>
    <w:rsid w:val="007D5069"/>
    <w:rsid w:val="007D519F"/>
    <w:rsid w:val="007D538B"/>
    <w:rsid w:val="007D5B2F"/>
    <w:rsid w:val="007D7461"/>
    <w:rsid w:val="007E2BFA"/>
    <w:rsid w:val="007E2FDB"/>
    <w:rsid w:val="007E31F3"/>
    <w:rsid w:val="007E39E7"/>
    <w:rsid w:val="007E578F"/>
    <w:rsid w:val="007E5EB1"/>
    <w:rsid w:val="007E6ACB"/>
    <w:rsid w:val="007F1250"/>
    <w:rsid w:val="007F3638"/>
    <w:rsid w:val="00802F98"/>
    <w:rsid w:val="00804D2C"/>
    <w:rsid w:val="00805F83"/>
    <w:rsid w:val="00806091"/>
    <w:rsid w:val="008068AF"/>
    <w:rsid w:val="00806F81"/>
    <w:rsid w:val="0081273B"/>
    <w:rsid w:val="008135DF"/>
    <w:rsid w:val="008136F1"/>
    <w:rsid w:val="008138CF"/>
    <w:rsid w:val="0081486E"/>
    <w:rsid w:val="0081704B"/>
    <w:rsid w:val="0082303E"/>
    <w:rsid w:val="00827414"/>
    <w:rsid w:val="008343AC"/>
    <w:rsid w:val="0083664F"/>
    <w:rsid w:val="008373DD"/>
    <w:rsid w:val="00837433"/>
    <w:rsid w:val="0084164C"/>
    <w:rsid w:val="008422A5"/>
    <w:rsid w:val="00844206"/>
    <w:rsid w:val="008468BB"/>
    <w:rsid w:val="00846DAB"/>
    <w:rsid w:val="00847F0E"/>
    <w:rsid w:val="008506FF"/>
    <w:rsid w:val="00851238"/>
    <w:rsid w:val="00851B19"/>
    <w:rsid w:val="00851D86"/>
    <w:rsid w:val="00852A98"/>
    <w:rsid w:val="00853F52"/>
    <w:rsid w:val="00854284"/>
    <w:rsid w:val="00854E6C"/>
    <w:rsid w:val="008566D6"/>
    <w:rsid w:val="00860AA9"/>
    <w:rsid w:val="00862720"/>
    <w:rsid w:val="00862EA3"/>
    <w:rsid w:val="00863612"/>
    <w:rsid w:val="00863D69"/>
    <w:rsid w:val="0086420F"/>
    <w:rsid w:val="00866C37"/>
    <w:rsid w:val="0087049A"/>
    <w:rsid w:val="00870B8C"/>
    <w:rsid w:val="00871210"/>
    <w:rsid w:val="0087190C"/>
    <w:rsid w:val="00871B10"/>
    <w:rsid w:val="0087359A"/>
    <w:rsid w:val="008748A3"/>
    <w:rsid w:val="008825CC"/>
    <w:rsid w:val="00884AE4"/>
    <w:rsid w:val="008865A4"/>
    <w:rsid w:val="008866D5"/>
    <w:rsid w:val="00887103"/>
    <w:rsid w:val="008913A9"/>
    <w:rsid w:val="008931E4"/>
    <w:rsid w:val="00893884"/>
    <w:rsid w:val="00894352"/>
    <w:rsid w:val="00894724"/>
    <w:rsid w:val="00894B01"/>
    <w:rsid w:val="0089509A"/>
    <w:rsid w:val="00895264"/>
    <w:rsid w:val="00897536"/>
    <w:rsid w:val="00897AC9"/>
    <w:rsid w:val="008A1EF5"/>
    <w:rsid w:val="008A2D10"/>
    <w:rsid w:val="008A6971"/>
    <w:rsid w:val="008A768E"/>
    <w:rsid w:val="008A76B7"/>
    <w:rsid w:val="008B0B3B"/>
    <w:rsid w:val="008C2305"/>
    <w:rsid w:val="008C46D5"/>
    <w:rsid w:val="008C4E0D"/>
    <w:rsid w:val="008C6FFB"/>
    <w:rsid w:val="008C7363"/>
    <w:rsid w:val="008D069D"/>
    <w:rsid w:val="008D0790"/>
    <w:rsid w:val="008D1006"/>
    <w:rsid w:val="008D1FA4"/>
    <w:rsid w:val="008D3557"/>
    <w:rsid w:val="008D4CC3"/>
    <w:rsid w:val="008D5A8D"/>
    <w:rsid w:val="008D5F54"/>
    <w:rsid w:val="008D6FED"/>
    <w:rsid w:val="008E02E0"/>
    <w:rsid w:val="008F108B"/>
    <w:rsid w:val="008F1896"/>
    <w:rsid w:val="008F238C"/>
    <w:rsid w:val="008F28C7"/>
    <w:rsid w:val="008F625F"/>
    <w:rsid w:val="008F7077"/>
    <w:rsid w:val="008F7317"/>
    <w:rsid w:val="00901CBF"/>
    <w:rsid w:val="00902B65"/>
    <w:rsid w:val="009031FC"/>
    <w:rsid w:val="00905E51"/>
    <w:rsid w:val="00907930"/>
    <w:rsid w:val="00910384"/>
    <w:rsid w:val="009115E2"/>
    <w:rsid w:val="00912870"/>
    <w:rsid w:val="00912B91"/>
    <w:rsid w:val="009142CD"/>
    <w:rsid w:val="009145CB"/>
    <w:rsid w:val="00920A3F"/>
    <w:rsid w:val="009220A2"/>
    <w:rsid w:val="00922E46"/>
    <w:rsid w:val="00924ACD"/>
    <w:rsid w:val="009254D3"/>
    <w:rsid w:val="009269B5"/>
    <w:rsid w:val="009273CA"/>
    <w:rsid w:val="0092743C"/>
    <w:rsid w:val="009303E1"/>
    <w:rsid w:val="00930761"/>
    <w:rsid w:val="00937040"/>
    <w:rsid w:val="009438C6"/>
    <w:rsid w:val="00943B2C"/>
    <w:rsid w:val="00945648"/>
    <w:rsid w:val="00947BC4"/>
    <w:rsid w:val="00950A5E"/>
    <w:rsid w:val="0095156D"/>
    <w:rsid w:val="00952B2D"/>
    <w:rsid w:val="00954BF0"/>
    <w:rsid w:val="0095624B"/>
    <w:rsid w:val="00957E24"/>
    <w:rsid w:val="009637AB"/>
    <w:rsid w:val="009644FB"/>
    <w:rsid w:val="00964BAF"/>
    <w:rsid w:val="00965B50"/>
    <w:rsid w:val="00965F6B"/>
    <w:rsid w:val="009664A9"/>
    <w:rsid w:val="009707C0"/>
    <w:rsid w:val="00970D4D"/>
    <w:rsid w:val="00971736"/>
    <w:rsid w:val="00983838"/>
    <w:rsid w:val="00985522"/>
    <w:rsid w:val="009857E8"/>
    <w:rsid w:val="00985B4D"/>
    <w:rsid w:val="00986672"/>
    <w:rsid w:val="009872D7"/>
    <w:rsid w:val="00987652"/>
    <w:rsid w:val="00993BC2"/>
    <w:rsid w:val="00994493"/>
    <w:rsid w:val="00994E33"/>
    <w:rsid w:val="00995DBE"/>
    <w:rsid w:val="00997707"/>
    <w:rsid w:val="009A3547"/>
    <w:rsid w:val="009A4719"/>
    <w:rsid w:val="009A7C0F"/>
    <w:rsid w:val="009B217B"/>
    <w:rsid w:val="009B26DD"/>
    <w:rsid w:val="009B6D28"/>
    <w:rsid w:val="009C0313"/>
    <w:rsid w:val="009C056C"/>
    <w:rsid w:val="009C1BA0"/>
    <w:rsid w:val="009C7330"/>
    <w:rsid w:val="009D1289"/>
    <w:rsid w:val="009D1ECF"/>
    <w:rsid w:val="009D5175"/>
    <w:rsid w:val="009D69AE"/>
    <w:rsid w:val="009E0B04"/>
    <w:rsid w:val="009E15E9"/>
    <w:rsid w:val="009E25E5"/>
    <w:rsid w:val="009E346F"/>
    <w:rsid w:val="009E63D0"/>
    <w:rsid w:val="009E646A"/>
    <w:rsid w:val="009E6B20"/>
    <w:rsid w:val="009E6C63"/>
    <w:rsid w:val="009F0639"/>
    <w:rsid w:val="009F105F"/>
    <w:rsid w:val="009F1451"/>
    <w:rsid w:val="009F2204"/>
    <w:rsid w:val="009F31B3"/>
    <w:rsid w:val="009F6036"/>
    <w:rsid w:val="00A00432"/>
    <w:rsid w:val="00A00A5C"/>
    <w:rsid w:val="00A01B36"/>
    <w:rsid w:val="00A0365C"/>
    <w:rsid w:val="00A03AFF"/>
    <w:rsid w:val="00A077B3"/>
    <w:rsid w:val="00A12143"/>
    <w:rsid w:val="00A1214F"/>
    <w:rsid w:val="00A12409"/>
    <w:rsid w:val="00A12544"/>
    <w:rsid w:val="00A15196"/>
    <w:rsid w:val="00A157B1"/>
    <w:rsid w:val="00A17A49"/>
    <w:rsid w:val="00A17F65"/>
    <w:rsid w:val="00A224FA"/>
    <w:rsid w:val="00A22DEA"/>
    <w:rsid w:val="00A24656"/>
    <w:rsid w:val="00A24EEB"/>
    <w:rsid w:val="00A251C9"/>
    <w:rsid w:val="00A35314"/>
    <w:rsid w:val="00A44DF5"/>
    <w:rsid w:val="00A44FDF"/>
    <w:rsid w:val="00A46B90"/>
    <w:rsid w:val="00A50871"/>
    <w:rsid w:val="00A551C7"/>
    <w:rsid w:val="00A60C49"/>
    <w:rsid w:val="00A61521"/>
    <w:rsid w:val="00A619C6"/>
    <w:rsid w:val="00A630AD"/>
    <w:rsid w:val="00A64FEF"/>
    <w:rsid w:val="00A65874"/>
    <w:rsid w:val="00A676F2"/>
    <w:rsid w:val="00A70839"/>
    <w:rsid w:val="00A71239"/>
    <w:rsid w:val="00A72563"/>
    <w:rsid w:val="00A75F5C"/>
    <w:rsid w:val="00A77BE4"/>
    <w:rsid w:val="00A80FE9"/>
    <w:rsid w:val="00A83EAE"/>
    <w:rsid w:val="00A86A12"/>
    <w:rsid w:val="00A877BD"/>
    <w:rsid w:val="00A910AE"/>
    <w:rsid w:val="00A92002"/>
    <w:rsid w:val="00A922C5"/>
    <w:rsid w:val="00A95764"/>
    <w:rsid w:val="00A95E27"/>
    <w:rsid w:val="00A96C63"/>
    <w:rsid w:val="00AA04A6"/>
    <w:rsid w:val="00AA28FD"/>
    <w:rsid w:val="00AA2D4B"/>
    <w:rsid w:val="00AA575F"/>
    <w:rsid w:val="00AA6C00"/>
    <w:rsid w:val="00AB2438"/>
    <w:rsid w:val="00AB3CF2"/>
    <w:rsid w:val="00AB53EF"/>
    <w:rsid w:val="00AB665A"/>
    <w:rsid w:val="00AB70B6"/>
    <w:rsid w:val="00AB77CE"/>
    <w:rsid w:val="00AC0A54"/>
    <w:rsid w:val="00AC511C"/>
    <w:rsid w:val="00AC6DC9"/>
    <w:rsid w:val="00AC7542"/>
    <w:rsid w:val="00AD022E"/>
    <w:rsid w:val="00AD2B0A"/>
    <w:rsid w:val="00AD2D38"/>
    <w:rsid w:val="00AD486D"/>
    <w:rsid w:val="00AD5B3B"/>
    <w:rsid w:val="00AD6415"/>
    <w:rsid w:val="00AD7268"/>
    <w:rsid w:val="00AE031F"/>
    <w:rsid w:val="00AE18C2"/>
    <w:rsid w:val="00AE2146"/>
    <w:rsid w:val="00AE7B39"/>
    <w:rsid w:val="00AF1BE2"/>
    <w:rsid w:val="00AF34CF"/>
    <w:rsid w:val="00AF60B7"/>
    <w:rsid w:val="00AF67D8"/>
    <w:rsid w:val="00B0151D"/>
    <w:rsid w:val="00B029AD"/>
    <w:rsid w:val="00B02EDF"/>
    <w:rsid w:val="00B0430B"/>
    <w:rsid w:val="00B04F23"/>
    <w:rsid w:val="00B052CE"/>
    <w:rsid w:val="00B06549"/>
    <w:rsid w:val="00B06D50"/>
    <w:rsid w:val="00B07D2E"/>
    <w:rsid w:val="00B10038"/>
    <w:rsid w:val="00B12599"/>
    <w:rsid w:val="00B12ED4"/>
    <w:rsid w:val="00B13F4A"/>
    <w:rsid w:val="00B1472F"/>
    <w:rsid w:val="00B20A1E"/>
    <w:rsid w:val="00B20D19"/>
    <w:rsid w:val="00B2100C"/>
    <w:rsid w:val="00B21451"/>
    <w:rsid w:val="00B256AB"/>
    <w:rsid w:val="00B26A0A"/>
    <w:rsid w:val="00B27100"/>
    <w:rsid w:val="00B27310"/>
    <w:rsid w:val="00B275F6"/>
    <w:rsid w:val="00B27E0B"/>
    <w:rsid w:val="00B35A59"/>
    <w:rsid w:val="00B36AB3"/>
    <w:rsid w:val="00B36B66"/>
    <w:rsid w:val="00B379C2"/>
    <w:rsid w:val="00B4091C"/>
    <w:rsid w:val="00B41025"/>
    <w:rsid w:val="00B41D4A"/>
    <w:rsid w:val="00B42061"/>
    <w:rsid w:val="00B43FA7"/>
    <w:rsid w:val="00B459AB"/>
    <w:rsid w:val="00B46601"/>
    <w:rsid w:val="00B50605"/>
    <w:rsid w:val="00B513E2"/>
    <w:rsid w:val="00B531D0"/>
    <w:rsid w:val="00B549CB"/>
    <w:rsid w:val="00B56E46"/>
    <w:rsid w:val="00B61378"/>
    <w:rsid w:val="00B619F3"/>
    <w:rsid w:val="00B62564"/>
    <w:rsid w:val="00B64AE5"/>
    <w:rsid w:val="00B6694B"/>
    <w:rsid w:val="00B724E5"/>
    <w:rsid w:val="00B725A0"/>
    <w:rsid w:val="00B74174"/>
    <w:rsid w:val="00B762A5"/>
    <w:rsid w:val="00B76670"/>
    <w:rsid w:val="00B77EB9"/>
    <w:rsid w:val="00B800C9"/>
    <w:rsid w:val="00B835A2"/>
    <w:rsid w:val="00B83F45"/>
    <w:rsid w:val="00B91E85"/>
    <w:rsid w:val="00B92F96"/>
    <w:rsid w:val="00B92FEC"/>
    <w:rsid w:val="00B93019"/>
    <w:rsid w:val="00B93201"/>
    <w:rsid w:val="00B94B5B"/>
    <w:rsid w:val="00B95498"/>
    <w:rsid w:val="00B97138"/>
    <w:rsid w:val="00BA0306"/>
    <w:rsid w:val="00BA10EE"/>
    <w:rsid w:val="00BA3858"/>
    <w:rsid w:val="00BB089C"/>
    <w:rsid w:val="00BB3E88"/>
    <w:rsid w:val="00BB47AA"/>
    <w:rsid w:val="00BB50D5"/>
    <w:rsid w:val="00BB772F"/>
    <w:rsid w:val="00BC25DD"/>
    <w:rsid w:val="00BC31AF"/>
    <w:rsid w:val="00BC5502"/>
    <w:rsid w:val="00BC6B0D"/>
    <w:rsid w:val="00BC6E83"/>
    <w:rsid w:val="00BD0140"/>
    <w:rsid w:val="00BD0260"/>
    <w:rsid w:val="00BD0311"/>
    <w:rsid w:val="00BD34AC"/>
    <w:rsid w:val="00BD4CCA"/>
    <w:rsid w:val="00BD593D"/>
    <w:rsid w:val="00BD6A10"/>
    <w:rsid w:val="00BD7AE2"/>
    <w:rsid w:val="00BE1CDD"/>
    <w:rsid w:val="00BE1E10"/>
    <w:rsid w:val="00BE26FA"/>
    <w:rsid w:val="00BE29B7"/>
    <w:rsid w:val="00BE3A64"/>
    <w:rsid w:val="00BE4A4C"/>
    <w:rsid w:val="00BE4B7D"/>
    <w:rsid w:val="00BE6A28"/>
    <w:rsid w:val="00BE7546"/>
    <w:rsid w:val="00BF046F"/>
    <w:rsid w:val="00BF10BD"/>
    <w:rsid w:val="00BF138C"/>
    <w:rsid w:val="00BF17AA"/>
    <w:rsid w:val="00BF225B"/>
    <w:rsid w:val="00BF3057"/>
    <w:rsid w:val="00BF404D"/>
    <w:rsid w:val="00C000CC"/>
    <w:rsid w:val="00C004F9"/>
    <w:rsid w:val="00C00D57"/>
    <w:rsid w:val="00C029C8"/>
    <w:rsid w:val="00C03454"/>
    <w:rsid w:val="00C0422B"/>
    <w:rsid w:val="00C04D4C"/>
    <w:rsid w:val="00C06534"/>
    <w:rsid w:val="00C120B2"/>
    <w:rsid w:val="00C12883"/>
    <w:rsid w:val="00C14A03"/>
    <w:rsid w:val="00C14DF2"/>
    <w:rsid w:val="00C169D2"/>
    <w:rsid w:val="00C2162F"/>
    <w:rsid w:val="00C21B61"/>
    <w:rsid w:val="00C21D46"/>
    <w:rsid w:val="00C22937"/>
    <w:rsid w:val="00C22D66"/>
    <w:rsid w:val="00C233BD"/>
    <w:rsid w:val="00C2453A"/>
    <w:rsid w:val="00C319CC"/>
    <w:rsid w:val="00C32A6A"/>
    <w:rsid w:val="00C36796"/>
    <w:rsid w:val="00C36910"/>
    <w:rsid w:val="00C369E6"/>
    <w:rsid w:val="00C4298C"/>
    <w:rsid w:val="00C43920"/>
    <w:rsid w:val="00C4446E"/>
    <w:rsid w:val="00C45AE9"/>
    <w:rsid w:val="00C47D5C"/>
    <w:rsid w:val="00C47DF7"/>
    <w:rsid w:val="00C510B1"/>
    <w:rsid w:val="00C53A77"/>
    <w:rsid w:val="00C551CB"/>
    <w:rsid w:val="00C55EE7"/>
    <w:rsid w:val="00C56341"/>
    <w:rsid w:val="00C5768A"/>
    <w:rsid w:val="00C61895"/>
    <w:rsid w:val="00C6231F"/>
    <w:rsid w:val="00C6428E"/>
    <w:rsid w:val="00C64FFD"/>
    <w:rsid w:val="00C676F8"/>
    <w:rsid w:val="00C67FBF"/>
    <w:rsid w:val="00C7000F"/>
    <w:rsid w:val="00C71FD9"/>
    <w:rsid w:val="00C731F1"/>
    <w:rsid w:val="00C7629F"/>
    <w:rsid w:val="00C801A8"/>
    <w:rsid w:val="00C81736"/>
    <w:rsid w:val="00C8243A"/>
    <w:rsid w:val="00C844B4"/>
    <w:rsid w:val="00C866DC"/>
    <w:rsid w:val="00C86965"/>
    <w:rsid w:val="00C9084A"/>
    <w:rsid w:val="00C90B36"/>
    <w:rsid w:val="00C92CE1"/>
    <w:rsid w:val="00CA3181"/>
    <w:rsid w:val="00CA44EA"/>
    <w:rsid w:val="00CA4565"/>
    <w:rsid w:val="00CA4604"/>
    <w:rsid w:val="00CA6A1B"/>
    <w:rsid w:val="00CA6DC2"/>
    <w:rsid w:val="00CA7F1B"/>
    <w:rsid w:val="00CB3D76"/>
    <w:rsid w:val="00CB454A"/>
    <w:rsid w:val="00CB6F6D"/>
    <w:rsid w:val="00CC1710"/>
    <w:rsid w:val="00CC1EC9"/>
    <w:rsid w:val="00CC3DD8"/>
    <w:rsid w:val="00CC3EB0"/>
    <w:rsid w:val="00CC5370"/>
    <w:rsid w:val="00CC5A8E"/>
    <w:rsid w:val="00CC6A19"/>
    <w:rsid w:val="00CD0B10"/>
    <w:rsid w:val="00CD0FBF"/>
    <w:rsid w:val="00CD3A4E"/>
    <w:rsid w:val="00CD3B0D"/>
    <w:rsid w:val="00CD5AD1"/>
    <w:rsid w:val="00CD6E6A"/>
    <w:rsid w:val="00CE1405"/>
    <w:rsid w:val="00CE614E"/>
    <w:rsid w:val="00CE7DF8"/>
    <w:rsid w:val="00CF000C"/>
    <w:rsid w:val="00CF0AB4"/>
    <w:rsid w:val="00CF1BDB"/>
    <w:rsid w:val="00CF231D"/>
    <w:rsid w:val="00D01FD0"/>
    <w:rsid w:val="00D0292B"/>
    <w:rsid w:val="00D05CCE"/>
    <w:rsid w:val="00D06616"/>
    <w:rsid w:val="00D06634"/>
    <w:rsid w:val="00D078EE"/>
    <w:rsid w:val="00D125C1"/>
    <w:rsid w:val="00D12C4A"/>
    <w:rsid w:val="00D12EDF"/>
    <w:rsid w:val="00D137A8"/>
    <w:rsid w:val="00D178F4"/>
    <w:rsid w:val="00D21EB3"/>
    <w:rsid w:val="00D21F52"/>
    <w:rsid w:val="00D22A1F"/>
    <w:rsid w:val="00D22E2D"/>
    <w:rsid w:val="00D2392D"/>
    <w:rsid w:val="00D23D19"/>
    <w:rsid w:val="00D24102"/>
    <w:rsid w:val="00D248EF"/>
    <w:rsid w:val="00D26883"/>
    <w:rsid w:val="00D30438"/>
    <w:rsid w:val="00D30C94"/>
    <w:rsid w:val="00D30F20"/>
    <w:rsid w:val="00D31EB4"/>
    <w:rsid w:val="00D327F7"/>
    <w:rsid w:val="00D331F0"/>
    <w:rsid w:val="00D34594"/>
    <w:rsid w:val="00D34F41"/>
    <w:rsid w:val="00D37C5B"/>
    <w:rsid w:val="00D37F71"/>
    <w:rsid w:val="00D448A5"/>
    <w:rsid w:val="00D5034E"/>
    <w:rsid w:val="00D5520D"/>
    <w:rsid w:val="00D5583C"/>
    <w:rsid w:val="00D61ED3"/>
    <w:rsid w:val="00D6542F"/>
    <w:rsid w:val="00D66256"/>
    <w:rsid w:val="00D66E6F"/>
    <w:rsid w:val="00D71625"/>
    <w:rsid w:val="00D72C2F"/>
    <w:rsid w:val="00D74396"/>
    <w:rsid w:val="00D77D10"/>
    <w:rsid w:val="00D81521"/>
    <w:rsid w:val="00D84B0A"/>
    <w:rsid w:val="00D84C2C"/>
    <w:rsid w:val="00D84CEF"/>
    <w:rsid w:val="00D84EB1"/>
    <w:rsid w:val="00D86E7B"/>
    <w:rsid w:val="00D9231F"/>
    <w:rsid w:val="00D93708"/>
    <w:rsid w:val="00D93F54"/>
    <w:rsid w:val="00D94437"/>
    <w:rsid w:val="00DA2817"/>
    <w:rsid w:val="00DA3799"/>
    <w:rsid w:val="00DA4D02"/>
    <w:rsid w:val="00DA5F8A"/>
    <w:rsid w:val="00DA76B3"/>
    <w:rsid w:val="00DB030F"/>
    <w:rsid w:val="00DB05ED"/>
    <w:rsid w:val="00DB0808"/>
    <w:rsid w:val="00DB0977"/>
    <w:rsid w:val="00DB1132"/>
    <w:rsid w:val="00DB236C"/>
    <w:rsid w:val="00DB362A"/>
    <w:rsid w:val="00DB65DD"/>
    <w:rsid w:val="00DC0774"/>
    <w:rsid w:val="00DC5A4F"/>
    <w:rsid w:val="00DC6F6B"/>
    <w:rsid w:val="00DC7B01"/>
    <w:rsid w:val="00DD0B0C"/>
    <w:rsid w:val="00DD3AB0"/>
    <w:rsid w:val="00DD49BD"/>
    <w:rsid w:val="00DD56F6"/>
    <w:rsid w:val="00DD6720"/>
    <w:rsid w:val="00DD764A"/>
    <w:rsid w:val="00DE02FC"/>
    <w:rsid w:val="00DE39AA"/>
    <w:rsid w:val="00DE524C"/>
    <w:rsid w:val="00DE5CF4"/>
    <w:rsid w:val="00DE630E"/>
    <w:rsid w:val="00DE7F64"/>
    <w:rsid w:val="00DF2847"/>
    <w:rsid w:val="00DF2C3B"/>
    <w:rsid w:val="00DF3774"/>
    <w:rsid w:val="00DF38A4"/>
    <w:rsid w:val="00DF67DE"/>
    <w:rsid w:val="00DF684F"/>
    <w:rsid w:val="00DF7F70"/>
    <w:rsid w:val="00E02BDD"/>
    <w:rsid w:val="00E03442"/>
    <w:rsid w:val="00E03647"/>
    <w:rsid w:val="00E05B67"/>
    <w:rsid w:val="00E06A41"/>
    <w:rsid w:val="00E07325"/>
    <w:rsid w:val="00E107E2"/>
    <w:rsid w:val="00E1169D"/>
    <w:rsid w:val="00E130AB"/>
    <w:rsid w:val="00E17BDF"/>
    <w:rsid w:val="00E2104A"/>
    <w:rsid w:val="00E21E42"/>
    <w:rsid w:val="00E23E76"/>
    <w:rsid w:val="00E27B60"/>
    <w:rsid w:val="00E32EF7"/>
    <w:rsid w:val="00E34EFD"/>
    <w:rsid w:val="00E357F3"/>
    <w:rsid w:val="00E416F4"/>
    <w:rsid w:val="00E4235F"/>
    <w:rsid w:val="00E4256A"/>
    <w:rsid w:val="00E42656"/>
    <w:rsid w:val="00E44043"/>
    <w:rsid w:val="00E44789"/>
    <w:rsid w:val="00E458FD"/>
    <w:rsid w:val="00E4700C"/>
    <w:rsid w:val="00E47BA5"/>
    <w:rsid w:val="00E50874"/>
    <w:rsid w:val="00E5092D"/>
    <w:rsid w:val="00E50B32"/>
    <w:rsid w:val="00E52305"/>
    <w:rsid w:val="00E52380"/>
    <w:rsid w:val="00E5771A"/>
    <w:rsid w:val="00E60096"/>
    <w:rsid w:val="00E6305B"/>
    <w:rsid w:val="00E63957"/>
    <w:rsid w:val="00E64D72"/>
    <w:rsid w:val="00E663F2"/>
    <w:rsid w:val="00E66B86"/>
    <w:rsid w:val="00E66FD7"/>
    <w:rsid w:val="00E768A9"/>
    <w:rsid w:val="00E776E1"/>
    <w:rsid w:val="00E8524B"/>
    <w:rsid w:val="00E86238"/>
    <w:rsid w:val="00E901AF"/>
    <w:rsid w:val="00E90464"/>
    <w:rsid w:val="00E90F5D"/>
    <w:rsid w:val="00E943C2"/>
    <w:rsid w:val="00E94E1B"/>
    <w:rsid w:val="00E96383"/>
    <w:rsid w:val="00E969F0"/>
    <w:rsid w:val="00E9745D"/>
    <w:rsid w:val="00EA13A3"/>
    <w:rsid w:val="00EA1435"/>
    <w:rsid w:val="00EA17D7"/>
    <w:rsid w:val="00EA2453"/>
    <w:rsid w:val="00EA4379"/>
    <w:rsid w:val="00EA7B97"/>
    <w:rsid w:val="00EA7D53"/>
    <w:rsid w:val="00EB0F7C"/>
    <w:rsid w:val="00EB5ADC"/>
    <w:rsid w:val="00EB6CFE"/>
    <w:rsid w:val="00EB7B95"/>
    <w:rsid w:val="00EC0698"/>
    <w:rsid w:val="00EC0EF0"/>
    <w:rsid w:val="00EC48A7"/>
    <w:rsid w:val="00EC768D"/>
    <w:rsid w:val="00ED03FE"/>
    <w:rsid w:val="00ED1966"/>
    <w:rsid w:val="00ED26BE"/>
    <w:rsid w:val="00ED2F4D"/>
    <w:rsid w:val="00ED3D1B"/>
    <w:rsid w:val="00ED4508"/>
    <w:rsid w:val="00ED76E3"/>
    <w:rsid w:val="00EE31A5"/>
    <w:rsid w:val="00EE3211"/>
    <w:rsid w:val="00EE32F0"/>
    <w:rsid w:val="00EE5046"/>
    <w:rsid w:val="00EE58AD"/>
    <w:rsid w:val="00EE66E2"/>
    <w:rsid w:val="00EF1370"/>
    <w:rsid w:val="00EF2142"/>
    <w:rsid w:val="00EF62C9"/>
    <w:rsid w:val="00EF7CE1"/>
    <w:rsid w:val="00F01D80"/>
    <w:rsid w:val="00F037A0"/>
    <w:rsid w:val="00F05358"/>
    <w:rsid w:val="00F05E2F"/>
    <w:rsid w:val="00F068BA"/>
    <w:rsid w:val="00F06D58"/>
    <w:rsid w:val="00F07927"/>
    <w:rsid w:val="00F160A1"/>
    <w:rsid w:val="00F16370"/>
    <w:rsid w:val="00F17F98"/>
    <w:rsid w:val="00F220F1"/>
    <w:rsid w:val="00F23AF1"/>
    <w:rsid w:val="00F23D1D"/>
    <w:rsid w:val="00F245AF"/>
    <w:rsid w:val="00F24D02"/>
    <w:rsid w:val="00F260BD"/>
    <w:rsid w:val="00F352E6"/>
    <w:rsid w:val="00F36EFB"/>
    <w:rsid w:val="00F37B58"/>
    <w:rsid w:val="00F40693"/>
    <w:rsid w:val="00F40E41"/>
    <w:rsid w:val="00F418FB"/>
    <w:rsid w:val="00F439D6"/>
    <w:rsid w:val="00F43FF7"/>
    <w:rsid w:val="00F44108"/>
    <w:rsid w:val="00F449C9"/>
    <w:rsid w:val="00F464FD"/>
    <w:rsid w:val="00F47C06"/>
    <w:rsid w:val="00F50FF1"/>
    <w:rsid w:val="00F5168B"/>
    <w:rsid w:val="00F549B8"/>
    <w:rsid w:val="00F5698D"/>
    <w:rsid w:val="00F63FA4"/>
    <w:rsid w:val="00F64D64"/>
    <w:rsid w:val="00F65803"/>
    <w:rsid w:val="00F662E7"/>
    <w:rsid w:val="00F6707C"/>
    <w:rsid w:val="00F67C3A"/>
    <w:rsid w:val="00F7663C"/>
    <w:rsid w:val="00F77669"/>
    <w:rsid w:val="00F82765"/>
    <w:rsid w:val="00F8322D"/>
    <w:rsid w:val="00F83961"/>
    <w:rsid w:val="00F8435F"/>
    <w:rsid w:val="00F875BE"/>
    <w:rsid w:val="00F900D5"/>
    <w:rsid w:val="00F915FA"/>
    <w:rsid w:val="00F9522A"/>
    <w:rsid w:val="00F96355"/>
    <w:rsid w:val="00F96713"/>
    <w:rsid w:val="00FA07D6"/>
    <w:rsid w:val="00FA1566"/>
    <w:rsid w:val="00FA257C"/>
    <w:rsid w:val="00FA2A2E"/>
    <w:rsid w:val="00FA3F4E"/>
    <w:rsid w:val="00FA50E5"/>
    <w:rsid w:val="00FA5E30"/>
    <w:rsid w:val="00FA5E89"/>
    <w:rsid w:val="00FA6783"/>
    <w:rsid w:val="00FB19A4"/>
    <w:rsid w:val="00FB2A5F"/>
    <w:rsid w:val="00FB2B55"/>
    <w:rsid w:val="00FB2FED"/>
    <w:rsid w:val="00FB3F76"/>
    <w:rsid w:val="00FB49C6"/>
    <w:rsid w:val="00FB5385"/>
    <w:rsid w:val="00FB59B7"/>
    <w:rsid w:val="00FB6A50"/>
    <w:rsid w:val="00FB72AF"/>
    <w:rsid w:val="00FB7C99"/>
    <w:rsid w:val="00FC2768"/>
    <w:rsid w:val="00FC3A36"/>
    <w:rsid w:val="00FC430B"/>
    <w:rsid w:val="00FD01E1"/>
    <w:rsid w:val="00FD3786"/>
    <w:rsid w:val="00FD6977"/>
    <w:rsid w:val="00FD76C4"/>
    <w:rsid w:val="00FD77CE"/>
    <w:rsid w:val="00FE0ECC"/>
    <w:rsid w:val="00FE3540"/>
    <w:rsid w:val="00FE3F12"/>
    <w:rsid w:val="00FE45B9"/>
    <w:rsid w:val="00FE50EA"/>
    <w:rsid w:val="00FE6808"/>
    <w:rsid w:val="00FE7BA4"/>
    <w:rsid w:val="00FE7BB2"/>
    <w:rsid w:val="00FE7E09"/>
    <w:rsid w:val="00FF124D"/>
    <w:rsid w:val="00FF1D23"/>
    <w:rsid w:val="00FF1F23"/>
    <w:rsid w:val="00FF2CC4"/>
    <w:rsid w:val="00FF4870"/>
    <w:rsid w:val="00FF5D17"/>
    <w:rsid w:val="020608E2"/>
    <w:rsid w:val="0435220B"/>
    <w:rsid w:val="065C7CD0"/>
    <w:rsid w:val="06677F89"/>
    <w:rsid w:val="0822201E"/>
    <w:rsid w:val="088A61B1"/>
    <w:rsid w:val="089E411E"/>
    <w:rsid w:val="08D851B9"/>
    <w:rsid w:val="0C2A198B"/>
    <w:rsid w:val="0CF24064"/>
    <w:rsid w:val="0E1A0E2F"/>
    <w:rsid w:val="0F733A6B"/>
    <w:rsid w:val="11BE6768"/>
    <w:rsid w:val="152E621D"/>
    <w:rsid w:val="15537304"/>
    <w:rsid w:val="16B637AD"/>
    <w:rsid w:val="16F21926"/>
    <w:rsid w:val="17982698"/>
    <w:rsid w:val="1A8D50BE"/>
    <w:rsid w:val="1AD56698"/>
    <w:rsid w:val="1BF86185"/>
    <w:rsid w:val="1C5841A4"/>
    <w:rsid w:val="1D736B1A"/>
    <w:rsid w:val="1E9A4F48"/>
    <w:rsid w:val="1EBA191C"/>
    <w:rsid w:val="1ED85A70"/>
    <w:rsid w:val="248A6D3D"/>
    <w:rsid w:val="28B52B84"/>
    <w:rsid w:val="291A4BB0"/>
    <w:rsid w:val="29D3130E"/>
    <w:rsid w:val="2A0F09FE"/>
    <w:rsid w:val="2AB34861"/>
    <w:rsid w:val="2C446EDF"/>
    <w:rsid w:val="2E1317E0"/>
    <w:rsid w:val="2E6446F2"/>
    <w:rsid w:val="2F04528E"/>
    <w:rsid w:val="2F0A3A24"/>
    <w:rsid w:val="31192F71"/>
    <w:rsid w:val="31226782"/>
    <w:rsid w:val="31ED0BBD"/>
    <w:rsid w:val="325338CA"/>
    <w:rsid w:val="327941DD"/>
    <w:rsid w:val="333D5A4A"/>
    <w:rsid w:val="383D40B1"/>
    <w:rsid w:val="394A5BAB"/>
    <w:rsid w:val="3BCD5235"/>
    <w:rsid w:val="3D7F307A"/>
    <w:rsid w:val="3D9C1B66"/>
    <w:rsid w:val="3E2033CE"/>
    <w:rsid w:val="3E907C2F"/>
    <w:rsid w:val="3ED3772C"/>
    <w:rsid w:val="3F167F88"/>
    <w:rsid w:val="3FEF28D7"/>
    <w:rsid w:val="40092071"/>
    <w:rsid w:val="41721E4D"/>
    <w:rsid w:val="427B36EE"/>
    <w:rsid w:val="44BA7CCE"/>
    <w:rsid w:val="458575CD"/>
    <w:rsid w:val="46A6600E"/>
    <w:rsid w:val="476B7238"/>
    <w:rsid w:val="477C0DDF"/>
    <w:rsid w:val="48911D8A"/>
    <w:rsid w:val="49302F0F"/>
    <w:rsid w:val="4AF75DD6"/>
    <w:rsid w:val="4B531CC0"/>
    <w:rsid w:val="4C573A84"/>
    <w:rsid w:val="4CCC0113"/>
    <w:rsid w:val="4D425101"/>
    <w:rsid w:val="4DF951F0"/>
    <w:rsid w:val="4F874AF0"/>
    <w:rsid w:val="50D44BB1"/>
    <w:rsid w:val="518628C2"/>
    <w:rsid w:val="52086ED1"/>
    <w:rsid w:val="523A2E65"/>
    <w:rsid w:val="542C2760"/>
    <w:rsid w:val="544B2490"/>
    <w:rsid w:val="56C85E5B"/>
    <w:rsid w:val="571B1411"/>
    <w:rsid w:val="57A02F46"/>
    <w:rsid w:val="599E23FA"/>
    <w:rsid w:val="5B547C51"/>
    <w:rsid w:val="5B5527B1"/>
    <w:rsid w:val="5BA758EF"/>
    <w:rsid w:val="5C763BF7"/>
    <w:rsid w:val="5DC866D4"/>
    <w:rsid w:val="5E1E12A1"/>
    <w:rsid w:val="5E7128C8"/>
    <w:rsid w:val="5EDF74B4"/>
    <w:rsid w:val="61CE1DDF"/>
    <w:rsid w:val="623146A6"/>
    <w:rsid w:val="62AC6CA7"/>
    <w:rsid w:val="66115C86"/>
    <w:rsid w:val="665C3E5E"/>
    <w:rsid w:val="67D4620F"/>
    <w:rsid w:val="697A2CDE"/>
    <w:rsid w:val="69984B6E"/>
    <w:rsid w:val="6A150B77"/>
    <w:rsid w:val="6A890F99"/>
    <w:rsid w:val="6B68349D"/>
    <w:rsid w:val="6BC172FF"/>
    <w:rsid w:val="6F134740"/>
    <w:rsid w:val="6F490CF7"/>
    <w:rsid w:val="71275A62"/>
    <w:rsid w:val="7130216F"/>
    <w:rsid w:val="714D6FE6"/>
    <w:rsid w:val="71A5623A"/>
    <w:rsid w:val="72B13773"/>
    <w:rsid w:val="780628F1"/>
    <w:rsid w:val="7BBA2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hd w:val="clear" w:color="auto" w:fill="FFFFFF"/>
      <w:tabs>
        <w:tab w:val="left" w:pos="426"/>
      </w:tabs>
      <w:adjustRightInd w:val="0"/>
      <w:snapToGrid w:val="0"/>
      <w:spacing w:line="360" w:lineRule="auto"/>
      <w:jc w:val="both"/>
    </w:pPr>
    <w:rPr>
      <w:rFonts w:ascii="宋体" w:hAnsi="Times New Roman" w:eastAsia="宋体" w:cs="宋体"/>
      <w:sz w:val="21"/>
      <w:szCs w:val="24"/>
      <w:lang w:val="en-US" w:eastAsia="zh-CN" w:bidi="ar-SA"/>
    </w:rPr>
  </w:style>
  <w:style w:type="paragraph" w:styleId="2">
    <w:name w:val="heading 1"/>
    <w:basedOn w:val="3"/>
    <w:next w:val="1"/>
    <w:autoRedefine/>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4">
    <w:name w:val="heading 2"/>
    <w:basedOn w:val="3"/>
    <w:next w:val="5"/>
    <w:link w:val="106"/>
    <w:autoRedefine/>
    <w:qFormat/>
    <w:uiPriority w:val="0"/>
    <w:pPr>
      <w:tabs>
        <w:tab w:val="left" w:pos="426"/>
      </w:tabs>
      <w:textAlignment w:val="baseline"/>
      <w:outlineLvl w:val="1"/>
    </w:pPr>
    <w:rPr>
      <w:bCs w:val="0"/>
      <w:kern w:val="0"/>
      <w:szCs w:val="20"/>
    </w:rPr>
  </w:style>
  <w:style w:type="paragraph" w:styleId="3">
    <w:name w:val="heading 3"/>
    <w:basedOn w:val="1"/>
    <w:next w:val="1"/>
    <w:link w:val="105"/>
    <w:autoRedefine/>
    <w:qFormat/>
    <w:uiPriority w:val="0"/>
    <w:pPr>
      <w:keepNext/>
      <w:keepLines/>
      <w:widowControl w:val="0"/>
      <w:shd w:val="clear" w:color="auto" w:fill="auto"/>
      <w:tabs>
        <w:tab w:val="clear" w:pos="426"/>
      </w:tabs>
      <w:adjustRightInd/>
      <w:snapToGrid/>
      <w:spacing w:before="260" w:after="260"/>
      <w:outlineLvl w:val="2"/>
    </w:pPr>
    <w:rPr>
      <w:rFonts w:cs="Times New Roman"/>
      <w:bCs/>
      <w:kern w:val="2"/>
      <w:szCs w:val="21"/>
    </w:rPr>
  </w:style>
  <w:style w:type="paragraph" w:styleId="5">
    <w:name w:val="heading 4"/>
    <w:basedOn w:val="1"/>
    <w:next w:val="1"/>
    <w:link w:val="107"/>
    <w:autoRedefine/>
    <w:qFormat/>
    <w:uiPriority w:val="0"/>
    <w:pPr>
      <w:keepNext/>
      <w:keepLines/>
      <w:numPr>
        <w:ilvl w:val="3"/>
        <w:numId w:val="1"/>
      </w:numPr>
      <w:tabs>
        <w:tab w:val="left" w:pos="0"/>
      </w:tab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08"/>
    <w:autoRedefine/>
    <w:qFormat/>
    <w:uiPriority w:val="0"/>
    <w:pPr>
      <w:keepNext/>
      <w:keepLines/>
      <w:numPr>
        <w:ilvl w:val="4"/>
        <w:numId w:val="1"/>
      </w:numPr>
      <w:spacing w:before="280" w:after="290" w:line="376" w:lineRule="auto"/>
      <w:jc w:val="center"/>
      <w:outlineLvl w:val="4"/>
    </w:pPr>
    <w:rPr>
      <w:rFonts w:ascii="Times New Roman" w:cs="Times New Roman"/>
      <w:b/>
      <w:kern w:val="2"/>
      <w:sz w:val="24"/>
      <w:szCs w:val="20"/>
    </w:rPr>
  </w:style>
  <w:style w:type="paragraph" w:styleId="8">
    <w:name w:val="heading 6"/>
    <w:basedOn w:val="1"/>
    <w:next w:val="7"/>
    <w:autoRedefine/>
    <w:qFormat/>
    <w:uiPriority w:val="0"/>
    <w:pPr>
      <w:keepNext/>
      <w:keepLines/>
      <w:numPr>
        <w:ilvl w:val="5"/>
        <w:numId w:val="1"/>
      </w:numPr>
      <w:spacing w:before="240" w:after="64" w:line="319" w:lineRule="auto"/>
      <w:outlineLvl w:val="5"/>
    </w:pPr>
    <w:rPr>
      <w:rFonts w:ascii="Arial" w:hAnsi="Arial" w:eastAsia="黑体" w:cs="Times New Roman"/>
      <w:b/>
      <w:kern w:val="2"/>
      <w:sz w:val="24"/>
      <w:szCs w:val="20"/>
    </w:rPr>
  </w:style>
  <w:style w:type="paragraph" w:styleId="9">
    <w:name w:val="heading 7"/>
    <w:basedOn w:val="1"/>
    <w:next w:val="7"/>
    <w:link w:val="110"/>
    <w:autoRedefine/>
    <w:qFormat/>
    <w:uiPriority w:val="0"/>
    <w:pPr>
      <w:keepNext/>
      <w:keepLines/>
      <w:numPr>
        <w:ilvl w:val="6"/>
        <w:numId w:val="1"/>
      </w:numPr>
      <w:spacing w:before="240" w:after="64" w:line="319" w:lineRule="auto"/>
      <w:outlineLvl w:val="6"/>
    </w:pPr>
    <w:rPr>
      <w:rFonts w:ascii="Times New Roman" w:cs="Times New Roman"/>
      <w:b/>
      <w:kern w:val="2"/>
      <w:sz w:val="24"/>
      <w:szCs w:val="20"/>
    </w:rPr>
  </w:style>
  <w:style w:type="paragraph" w:styleId="10">
    <w:name w:val="heading 8"/>
    <w:basedOn w:val="1"/>
    <w:next w:val="7"/>
    <w:link w:val="111"/>
    <w:autoRedefine/>
    <w:qFormat/>
    <w:uiPriority w:val="0"/>
    <w:pPr>
      <w:keepNext/>
      <w:keepLines/>
      <w:numPr>
        <w:ilvl w:val="7"/>
        <w:numId w:val="1"/>
      </w:numPr>
      <w:spacing w:before="240" w:after="64" w:line="319" w:lineRule="auto"/>
      <w:outlineLvl w:val="7"/>
    </w:pPr>
    <w:rPr>
      <w:rFonts w:ascii="Arial" w:hAnsi="Arial" w:eastAsia="黑体" w:cs="Times New Roman"/>
      <w:kern w:val="2"/>
      <w:sz w:val="24"/>
      <w:szCs w:val="20"/>
    </w:rPr>
  </w:style>
  <w:style w:type="paragraph" w:styleId="11">
    <w:name w:val="heading 9"/>
    <w:basedOn w:val="1"/>
    <w:next w:val="7"/>
    <w:link w:val="112"/>
    <w:autoRedefine/>
    <w:qFormat/>
    <w:uiPriority w:val="0"/>
    <w:pPr>
      <w:keepNext/>
      <w:keepLines/>
      <w:numPr>
        <w:ilvl w:val="8"/>
        <w:numId w:val="1"/>
      </w:numPr>
      <w:spacing w:before="240" w:after="64" w:line="319" w:lineRule="auto"/>
      <w:outlineLvl w:val="8"/>
    </w:pPr>
    <w:rPr>
      <w:rFonts w:ascii="Arial" w:hAnsi="Arial" w:eastAsia="黑体" w:cs="Times New Roman"/>
      <w:kern w:val="2"/>
      <w:szCs w:val="20"/>
    </w:rPr>
  </w:style>
  <w:style w:type="character" w:default="1" w:styleId="87">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09"/>
    <w:autoRedefine/>
    <w:qFormat/>
    <w:uiPriority w:val="0"/>
    <w:pPr>
      <w:ind w:firstLine="420"/>
    </w:pPr>
    <w:rPr>
      <w:rFonts w:ascii="Times New Roman" w:cs="Times New Roman"/>
      <w:kern w:val="2"/>
      <w:szCs w:val="20"/>
    </w:rPr>
  </w:style>
  <w:style w:type="paragraph" w:styleId="12">
    <w:name w:val="List 3"/>
    <w:basedOn w:val="1"/>
    <w:autoRedefine/>
    <w:qFormat/>
    <w:uiPriority w:val="0"/>
    <w:pPr>
      <w:widowControl w:val="0"/>
      <w:shd w:val="clear" w:color="auto" w:fill="auto"/>
      <w:tabs>
        <w:tab w:val="clear" w:pos="426"/>
      </w:tabs>
      <w:adjustRightInd/>
      <w:snapToGrid/>
      <w:spacing w:line="240" w:lineRule="auto"/>
      <w:ind w:left="600" w:leftChars="400" w:hanging="200" w:hangingChars="200"/>
    </w:pPr>
    <w:rPr>
      <w:rFonts w:ascii="Times New Roman" w:cs="Times New Roman"/>
      <w:kern w:val="2"/>
    </w:rPr>
  </w:style>
  <w:style w:type="paragraph" w:styleId="13">
    <w:name w:val="toc 7"/>
    <w:basedOn w:val="1"/>
    <w:next w:val="1"/>
    <w:autoRedefine/>
    <w:qFormat/>
    <w:uiPriority w:val="0"/>
    <w:pPr>
      <w:ind w:left="1260"/>
      <w:jc w:val="left"/>
    </w:pPr>
    <w:rPr>
      <w:szCs w:val="21"/>
    </w:rPr>
  </w:style>
  <w:style w:type="paragraph" w:styleId="14">
    <w:name w:val="List Number 2"/>
    <w:basedOn w:val="1"/>
    <w:autoRedefine/>
    <w:qFormat/>
    <w:uiPriority w:val="0"/>
    <w:pPr>
      <w:numPr>
        <w:ilvl w:val="0"/>
        <w:numId w:val="2"/>
      </w:numPr>
      <w:tabs>
        <w:tab w:val="left" w:pos="820"/>
      </w:tabs>
      <w:spacing w:afterLines="50"/>
    </w:pPr>
    <w:rPr>
      <w:sz w:val="24"/>
      <w:szCs w:val="20"/>
    </w:rPr>
  </w:style>
  <w:style w:type="paragraph" w:styleId="15">
    <w:name w:val="Note Heading"/>
    <w:basedOn w:val="1"/>
    <w:next w:val="1"/>
    <w:autoRedefine/>
    <w:qFormat/>
    <w:uiPriority w:val="0"/>
    <w:pPr>
      <w:widowControl w:val="0"/>
      <w:shd w:val="clear" w:color="auto" w:fill="auto"/>
      <w:tabs>
        <w:tab w:val="clear" w:pos="426"/>
      </w:tabs>
      <w:adjustRightInd/>
      <w:snapToGrid/>
      <w:spacing w:line="240" w:lineRule="auto"/>
      <w:jc w:val="center"/>
    </w:pPr>
    <w:rPr>
      <w:rFonts w:ascii="Times New Roman" w:cs="Times New Roman"/>
      <w:kern w:val="2"/>
    </w:rPr>
  </w:style>
  <w:style w:type="paragraph" w:styleId="16">
    <w:name w:val="List Bullet 4"/>
    <w:basedOn w:val="1"/>
    <w:autoRedefine/>
    <w:qFormat/>
    <w:uiPriority w:val="0"/>
    <w:pPr>
      <w:widowControl w:val="0"/>
      <w:numPr>
        <w:ilvl w:val="0"/>
        <w:numId w:val="3"/>
      </w:numPr>
      <w:shd w:val="clear" w:color="auto" w:fill="auto"/>
      <w:tabs>
        <w:tab w:val="clear" w:pos="426"/>
      </w:tabs>
      <w:adjustRightInd/>
      <w:snapToGrid/>
      <w:spacing w:line="240" w:lineRule="auto"/>
    </w:pPr>
    <w:rPr>
      <w:rFonts w:ascii="Times New Roman" w:cs="Times New Roman"/>
      <w:kern w:val="2"/>
    </w:rPr>
  </w:style>
  <w:style w:type="paragraph" w:styleId="17">
    <w:name w:val="index 8"/>
    <w:basedOn w:val="1"/>
    <w:next w:val="1"/>
    <w:autoRedefine/>
    <w:qFormat/>
    <w:uiPriority w:val="0"/>
    <w:pPr>
      <w:widowControl w:val="0"/>
      <w:shd w:val="clear" w:color="auto" w:fill="auto"/>
      <w:tabs>
        <w:tab w:val="clear" w:pos="426"/>
      </w:tabs>
      <w:adjustRightInd/>
      <w:snapToGrid/>
      <w:spacing w:line="240" w:lineRule="auto"/>
      <w:ind w:left="1680" w:hanging="210"/>
      <w:jc w:val="left"/>
    </w:pPr>
    <w:rPr>
      <w:rFonts w:ascii="Times New Roman" w:cs="Times New Roman"/>
      <w:kern w:val="2"/>
      <w:sz w:val="20"/>
      <w:szCs w:val="20"/>
    </w:rPr>
  </w:style>
  <w:style w:type="paragraph" w:styleId="18">
    <w:name w:val="E-mail Signature"/>
    <w:basedOn w:val="1"/>
    <w:autoRedefine/>
    <w:qFormat/>
    <w:uiPriority w:val="0"/>
    <w:pPr>
      <w:widowControl w:val="0"/>
      <w:shd w:val="clear" w:color="auto" w:fill="auto"/>
      <w:tabs>
        <w:tab w:val="clear" w:pos="426"/>
      </w:tabs>
      <w:adjustRightInd/>
      <w:snapToGrid/>
      <w:spacing w:line="240" w:lineRule="auto"/>
    </w:pPr>
    <w:rPr>
      <w:rFonts w:ascii="Times New Roman" w:cs="Times New Roman"/>
      <w:kern w:val="2"/>
    </w:rPr>
  </w:style>
  <w:style w:type="paragraph" w:styleId="19">
    <w:name w:val="List Number"/>
    <w:basedOn w:val="1"/>
    <w:autoRedefine/>
    <w:qFormat/>
    <w:uiPriority w:val="0"/>
    <w:pPr>
      <w:widowControl w:val="0"/>
      <w:numPr>
        <w:ilvl w:val="0"/>
        <w:numId w:val="4"/>
      </w:numPr>
      <w:shd w:val="clear" w:color="auto" w:fill="auto"/>
      <w:tabs>
        <w:tab w:val="clear" w:pos="426"/>
      </w:tabs>
      <w:adjustRightInd/>
      <w:snapToGrid/>
      <w:spacing w:line="240" w:lineRule="auto"/>
    </w:pPr>
    <w:rPr>
      <w:rFonts w:ascii="Times New Roman" w:cs="Times New Roman"/>
      <w:kern w:val="2"/>
    </w:rPr>
  </w:style>
  <w:style w:type="paragraph" w:styleId="20">
    <w:name w:val="caption"/>
    <w:basedOn w:val="1"/>
    <w:next w:val="1"/>
    <w:autoRedefine/>
    <w:qFormat/>
    <w:uiPriority w:val="0"/>
    <w:rPr>
      <w:rFonts w:ascii="Arial" w:hAnsi="Arial" w:eastAsia="黑体" w:cs="Arial"/>
      <w:sz w:val="20"/>
      <w:szCs w:val="20"/>
    </w:rPr>
  </w:style>
  <w:style w:type="paragraph" w:styleId="21">
    <w:name w:val="index 5"/>
    <w:basedOn w:val="1"/>
    <w:next w:val="1"/>
    <w:autoRedefine/>
    <w:qFormat/>
    <w:uiPriority w:val="0"/>
    <w:pPr>
      <w:widowControl w:val="0"/>
      <w:shd w:val="clear" w:color="auto" w:fill="auto"/>
      <w:tabs>
        <w:tab w:val="clear" w:pos="426"/>
      </w:tabs>
      <w:adjustRightInd/>
      <w:snapToGrid/>
      <w:spacing w:line="240" w:lineRule="auto"/>
      <w:ind w:left="1050" w:hanging="210"/>
      <w:jc w:val="left"/>
    </w:pPr>
    <w:rPr>
      <w:rFonts w:ascii="Times New Roman" w:cs="Times New Roman"/>
      <w:kern w:val="2"/>
      <w:sz w:val="20"/>
      <w:szCs w:val="20"/>
    </w:rPr>
  </w:style>
  <w:style w:type="paragraph" w:styleId="22">
    <w:name w:val="List Bullet"/>
    <w:basedOn w:val="1"/>
    <w:autoRedefine/>
    <w:qFormat/>
    <w:uiPriority w:val="0"/>
    <w:pPr>
      <w:tabs>
        <w:tab w:val="left" w:pos="360"/>
      </w:tabs>
      <w:ind w:left="200" w:hanging="200" w:hangingChars="200"/>
    </w:pPr>
    <w:rPr>
      <w:szCs w:val="20"/>
    </w:rPr>
  </w:style>
  <w:style w:type="paragraph" w:styleId="23">
    <w:name w:val="envelope address"/>
    <w:basedOn w:val="1"/>
    <w:autoRedefine/>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400" w:leftChars="1400"/>
    </w:pPr>
    <w:rPr>
      <w:rFonts w:ascii="Arial" w:hAnsi="Arial" w:cs="Arial"/>
      <w:kern w:val="2"/>
      <w:sz w:val="24"/>
    </w:rPr>
  </w:style>
  <w:style w:type="paragraph" w:styleId="24">
    <w:name w:val="Document Map"/>
    <w:basedOn w:val="1"/>
    <w:autoRedefine/>
    <w:qFormat/>
    <w:uiPriority w:val="0"/>
    <w:pPr>
      <w:shd w:val="clear" w:color="auto" w:fill="000080"/>
    </w:pPr>
    <w:rPr>
      <w:rFonts w:ascii="Times New Roman" w:cs="Times New Roman"/>
      <w:kern w:val="2"/>
    </w:rPr>
  </w:style>
  <w:style w:type="paragraph" w:styleId="25">
    <w:name w:val="toa heading"/>
    <w:basedOn w:val="1"/>
    <w:next w:val="1"/>
    <w:autoRedefine/>
    <w:qFormat/>
    <w:uiPriority w:val="0"/>
    <w:pPr>
      <w:spacing w:before="120"/>
    </w:pPr>
    <w:rPr>
      <w:rFonts w:ascii="Arial" w:hAnsi="Arial"/>
      <w:sz w:val="24"/>
      <w:szCs w:val="20"/>
    </w:rPr>
  </w:style>
  <w:style w:type="paragraph" w:styleId="26">
    <w:name w:val="annotation text"/>
    <w:basedOn w:val="1"/>
    <w:link w:val="113"/>
    <w:autoRedefine/>
    <w:qFormat/>
    <w:uiPriority w:val="0"/>
    <w:pPr>
      <w:autoSpaceDE w:val="0"/>
      <w:autoSpaceDN w:val="0"/>
      <w:jc w:val="left"/>
      <w:textAlignment w:val="baseline"/>
    </w:pPr>
    <w:rPr>
      <w:rFonts w:cs="Times New Roman"/>
      <w:sz w:val="34"/>
      <w:szCs w:val="20"/>
    </w:rPr>
  </w:style>
  <w:style w:type="paragraph" w:styleId="27">
    <w:name w:val="index 6"/>
    <w:basedOn w:val="1"/>
    <w:next w:val="1"/>
    <w:autoRedefine/>
    <w:qFormat/>
    <w:uiPriority w:val="0"/>
    <w:pPr>
      <w:widowControl w:val="0"/>
      <w:shd w:val="clear" w:color="auto" w:fill="auto"/>
      <w:tabs>
        <w:tab w:val="clear" w:pos="426"/>
      </w:tabs>
      <w:adjustRightInd/>
      <w:snapToGrid/>
      <w:spacing w:line="240" w:lineRule="auto"/>
      <w:ind w:left="1260" w:hanging="210"/>
      <w:jc w:val="left"/>
    </w:pPr>
    <w:rPr>
      <w:rFonts w:ascii="Times New Roman" w:cs="Times New Roman"/>
      <w:kern w:val="2"/>
      <w:sz w:val="20"/>
      <w:szCs w:val="20"/>
    </w:rPr>
  </w:style>
  <w:style w:type="paragraph" w:styleId="28">
    <w:name w:val="Salutation"/>
    <w:basedOn w:val="1"/>
    <w:next w:val="1"/>
    <w:autoRedefine/>
    <w:qFormat/>
    <w:uiPriority w:val="0"/>
    <w:pPr>
      <w:widowControl w:val="0"/>
      <w:shd w:val="clear" w:color="auto" w:fill="auto"/>
      <w:tabs>
        <w:tab w:val="clear" w:pos="426"/>
      </w:tabs>
      <w:adjustRightInd/>
      <w:snapToGrid/>
      <w:spacing w:line="240" w:lineRule="auto"/>
    </w:pPr>
    <w:rPr>
      <w:rFonts w:ascii="Times New Roman" w:cs="Times New Roman"/>
      <w:kern w:val="2"/>
    </w:rPr>
  </w:style>
  <w:style w:type="paragraph" w:styleId="29">
    <w:name w:val="Body Text 3"/>
    <w:basedOn w:val="1"/>
    <w:link w:val="114"/>
    <w:autoRedefine/>
    <w:qFormat/>
    <w:uiPriority w:val="0"/>
    <w:pPr>
      <w:spacing w:after="120"/>
    </w:pPr>
    <w:rPr>
      <w:rFonts w:ascii="Times New Roman" w:cs="Times New Roman"/>
      <w:kern w:val="2"/>
      <w:sz w:val="16"/>
      <w:szCs w:val="16"/>
    </w:rPr>
  </w:style>
  <w:style w:type="paragraph" w:styleId="30">
    <w:name w:val="Closing"/>
    <w:basedOn w:val="1"/>
    <w:autoRedefine/>
    <w:qFormat/>
    <w:uiPriority w:val="0"/>
    <w:pPr>
      <w:widowControl w:val="0"/>
      <w:shd w:val="clear" w:color="auto" w:fill="auto"/>
      <w:tabs>
        <w:tab w:val="clear" w:pos="426"/>
      </w:tabs>
      <w:adjustRightInd/>
      <w:snapToGrid/>
      <w:spacing w:line="240" w:lineRule="auto"/>
      <w:ind w:left="2100" w:leftChars="2100"/>
    </w:pPr>
    <w:rPr>
      <w:rFonts w:ascii="Times New Roman" w:cs="Times New Roman"/>
      <w:kern w:val="2"/>
    </w:rPr>
  </w:style>
  <w:style w:type="paragraph" w:styleId="31">
    <w:name w:val="List Bullet 3"/>
    <w:basedOn w:val="1"/>
    <w:autoRedefine/>
    <w:qFormat/>
    <w:uiPriority w:val="0"/>
    <w:pPr>
      <w:widowControl w:val="0"/>
      <w:numPr>
        <w:ilvl w:val="0"/>
        <w:numId w:val="5"/>
      </w:numPr>
      <w:shd w:val="clear" w:color="auto" w:fill="auto"/>
      <w:tabs>
        <w:tab w:val="clear" w:pos="426"/>
      </w:tabs>
      <w:adjustRightInd/>
      <w:snapToGrid/>
      <w:spacing w:line="240" w:lineRule="auto"/>
    </w:pPr>
    <w:rPr>
      <w:rFonts w:ascii="Times New Roman" w:cs="Times New Roman"/>
      <w:kern w:val="2"/>
    </w:rPr>
  </w:style>
  <w:style w:type="paragraph" w:styleId="32">
    <w:name w:val="Body Text"/>
    <w:basedOn w:val="1"/>
    <w:autoRedefine/>
    <w:qFormat/>
    <w:uiPriority w:val="0"/>
    <w:rPr>
      <w:rFonts w:cs="Times New Roman"/>
      <w:b/>
      <w:bCs/>
      <w:sz w:val="24"/>
    </w:rPr>
  </w:style>
  <w:style w:type="paragraph" w:styleId="33">
    <w:name w:val="Body Text Indent"/>
    <w:basedOn w:val="1"/>
    <w:link w:val="115"/>
    <w:autoRedefine/>
    <w:qFormat/>
    <w:uiPriority w:val="0"/>
    <w:pPr>
      <w:ind w:firstLine="200" w:firstLineChars="200"/>
    </w:pPr>
    <w:rPr>
      <w:rFonts w:ascii="Times New Roman" w:cs="Times New Roman"/>
      <w:kern w:val="2"/>
    </w:rPr>
  </w:style>
  <w:style w:type="paragraph" w:styleId="34">
    <w:name w:val="List Number 3"/>
    <w:basedOn w:val="1"/>
    <w:autoRedefine/>
    <w:qFormat/>
    <w:uiPriority w:val="0"/>
    <w:pPr>
      <w:widowControl w:val="0"/>
      <w:numPr>
        <w:ilvl w:val="0"/>
        <w:numId w:val="6"/>
      </w:numPr>
      <w:shd w:val="clear" w:color="auto" w:fill="auto"/>
      <w:tabs>
        <w:tab w:val="clear" w:pos="426"/>
      </w:tabs>
      <w:adjustRightInd/>
      <w:snapToGrid/>
      <w:spacing w:line="240" w:lineRule="auto"/>
    </w:pPr>
    <w:rPr>
      <w:rFonts w:ascii="Times New Roman" w:cs="Times New Roman"/>
      <w:kern w:val="2"/>
    </w:rPr>
  </w:style>
  <w:style w:type="paragraph" w:styleId="35">
    <w:name w:val="List 2"/>
    <w:basedOn w:val="1"/>
    <w:autoRedefine/>
    <w:qFormat/>
    <w:uiPriority w:val="0"/>
    <w:pPr>
      <w:widowControl w:val="0"/>
      <w:shd w:val="clear" w:color="auto" w:fill="auto"/>
      <w:tabs>
        <w:tab w:val="clear" w:pos="426"/>
      </w:tabs>
      <w:adjustRightInd/>
      <w:snapToGrid/>
      <w:spacing w:line="240" w:lineRule="auto"/>
      <w:ind w:left="400" w:leftChars="200" w:hanging="200" w:hangingChars="200"/>
    </w:pPr>
    <w:rPr>
      <w:rFonts w:ascii="Times New Roman" w:cs="Times New Roman"/>
      <w:kern w:val="2"/>
    </w:rPr>
  </w:style>
  <w:style w:type="paragraph" w:styleId="36">
    <w:name w:val="List Continue"/>
    <w:basedOn w:val="1"/>
    <w:autoRedefine/>
    <w:qFormat/>
    <w:uiPriority w:val="0"/>
    <w:pPr>
      <w:widowControl w:val="0"/>
      <w:shd w:val="clear" w:color="auto" w:fill="auto"/>
      <w:tabs>
        <w:tab w:val="clear" w:pos="426"/>
      </w:tabs>
      <w:adjustRightInd/>
      <w:snapToGrid/>
      <w:spacing w:after="120" w:line="240" w:lineRule="auto"/>
      <w:ind w:left="200" w:leftChars="200"/>
    </w:pPr>
    <w:rPr>
      <w:rFonts w:ascii="Times New Roman" w:cs="Times New Roman"/>
      <w:kern w:val="2"/>
    </w:rPr>
  </w:style>
  <w:style w:type="paragraph" w:styleId="37">
    <w:name w:val="Block Text"/>
    <w:basedOn w:val="1"/>
    <w:autoRedefine/>
    <w:qFormat/>
    <w:uiPriority w:val="0"/>
    <w:pPr>
      <w:widowControl w:val="0"/>
      <w:shd w:val="clear" w:color="auto" w:fill="auto"/>
      <w:tabs>
        <w:tab w:val="clear" w:pos="426"/>
      </w:tabs>
      <w:adjustRightInd/>
      <w:snapToGrid/>
      <w:spacing w:after="120" w:line="240" w:lineRule="auto"/>
      <w:ind w:left="700" w:leftChars="700" w:right="700" w:rightChars="700"/>
    </w:pPr>
    <w:rPr>
      <w:rFonts w:ascii="Times New Roman" w:cs="Times New Roman"/>
      <w:kern w:val="2"/>
    </w:rPr>
  </w:style>
  <w:style w:type="paragraph" w:styleId="38">
    <w:name w:val="List Bullet 2"/>
    <w:basedOn w:val="1"/>
    <w:autoRedefine/>
    <w:qFormat/>
    <w:uiPriority w:val="0"/>
    <w:pPr>
      <w:widowControl w:val="0"/>
      <w:numPr>
        <w:ilvl w:val="0"/>
        <w:numId w:val="7"/>
      </w:numPr>
      <w:shd w:val="clear" w:color="auto" w:fill="auto"/>
      <w:tabs>
        <w:tab w:val="clear" w:pos="426"/>
      </w:tabs>
      <w:adjustRightInd/>
      <w:snapToGrid/>
      <w:spacing w:line="240" w:lineRule="auto"/>
    </w:pPr>
    <w:rPr>
      <w:rFonts w:ascii="Times New Roman" w:cs="Times New Roman"/>
      <w:kern w:val="2"/>
    </w:rPr>
  </w:style>
  <w:style w:type="paragraph" w:styleId="39">
    <w:name w:val="HTML Address"/>
    <w:basedOn w:val="1"/>
    <w:autoRedefine/>
    <w:qFormat/>
    <w:uiPriority w:val="0"/>
    <w:pPr>
      <w:widowControl w:val="0"/>
      <w:shd w:val="clear" w:color="auto" w:fill="auto"/>
      <w:tabs>
        <w:tab w:val="clear" w:pos="426"/>
      </w:tabs>
      <w:adjustRightInd/>
      <w:snapToGrid/>
      <w:spacing w:line="240" w:lineRule="auto"/>
    </w:pPr>
    <w:rPr>
      <w:rFonts w:ascii="Times New Roman" w:cs="Times New Roman"/>
      <w:i/>
      <w:iCs/>
      <w:kern w:val="2"/>
    </w:rPr>
  </w:style>
  <w:style w:type="paragraph" w:styleId="40">
    <w:name w:val="index 4"/>
    <w:basedOn w:val="1"/>
    <w:next w:val="1"/>
    <w:autoRedefine/>
    <w:qFormat/>
    <w:uiPriority w:val="0"/>
    <w:pPr>
      <w:widowControl w:val="0"/>
      <w:shd w:val="clear" w:color="auto" w:fill="auto"/>
      <w:tabs>
        <w:tab w:val="clear" w:pos="426"/>
      </w:tabs>
      <w:adjustRightInd/>
      <w:snapToGrid/>
      <w:spacing w:line="240" w:lineRule="auto"/>
      <w:ind w:left="840" w:hanging="210"/>
      <w:jc w:val="left"/>
    </w:pPr>
    <w:rPr>
      <w:rFonts w:ascii="Times New Roman" w:cs="Times New Roman"/>
      <w:kern w:val="2"/>
      <w:sz w:val="20"/>
      <w:szCs w:val="20"/>
    </w:rPr>
  </w:style>
  <w:style w:type="paragraph" w:styleId="41">
    <w:name w:val="toc 5"/>
    <w:basedOn w:val="1"/>
    <w:next w:val="1"/>
    <w:autoRedefine/>
    <w:qFormat/>
    <w:uiPriority w:val="0"/>
    <w:pPr>
      <w:ind w:left="840"/>
      <w:jc w:val="left"/>
    </w:pPr>
    <w:rPr>
      <w:szCs w:val="21"/>
    </w:rPr>
  </w:style>
  <w:style w:type="paragraph" w:styleId="42">
    <w:name w:val="toc 3"/>
    <w:basedOn w:val="1"/>
    <w:next w:val="1"/>
    <w:autoRedefine/>
    <w:qFormat/>
    <w:uiPriority w:val="39"/>
    <w:pPr>
      <w:ind w:left="420"/>
      <w:jc w:val="left"/>
    </w:pPr>
    <w:rPr>
      <w:i/>
      <w:iCs/>
    </w:rPr>
  </w:style>
  <w:style w:type="paragraph" w:styleId="43">
    <w:name w:val="Plain Text"/>
    <w:basedOn w:val="1"/>
    <w:autoRedefine/>
    <w:qFormat/>
    <w:uiPriority w:val="0"/>
    <w:rPr>
      <w:rFonts w:cs="Times New Roman"/>
      <w:kern w:val="2"/>
      <w:szCs w:val="20"/>
    </w:rPr>
  </w:style>
  <w:style w:type="paragraph" w:styleId="44">
    <w:name w:val="List Bullet 5"/>
    <w:basedOn w:val="1"/>
    <w:autoRedefine/>
    <w:qFormat/>
    <w:uiPriority w:val="0"/>
    <w:pPr>
      <w:widowControl w:val="0"/>
      <w:numPr>
        <w:ilvl w:val="0"/>
        <w:numId w:val="8"/>
      </w:numPr>
      <w:shd w:val="clear" w:color="auto" w:fill="auto"/>
      <w:tabs>
        <w:tab w:val="clear" w:pos="426"/>
      </w:tabs>
      <w:adjustRightInd/>
      <w:snapToGrid/>
      <w:spacing w:line="240" w:lineRule="auto"/>
    </w:pPr>
    <w:rPr>
      <w:rFonts w:ascii="Times New Roman" w:cs="Times New Roman"/>
      <w:kern w:val="2"/>
    </w:rPr>
  </w:style>
  <w:style w:type="paragraph" w:styleId="45">
    <w:name w:val="List Number 4"/>
    <w:basedOn w:val="1"/>
    <w:autoRedefine/>
    <w:qFormat/>
    <w:uiPriority w:val="0"/>
    <w:pPr>
      <w:widowControl w:val="0"/>
      <w:numPr>
        <w:ilvl w:val="0"/>
        <w:numId w:val="9"/>
      </w:numPr>
      <w:shd w:val="clear" w:color="auto" w:fill="auto"/>
      <w:tabs>
        <w:tab w:val="clear" w:pos="426"/>
      </w:tabs>
      <w:adjustRightInd/>
      <w:snapToGrid/>
      <w:spacing w:line="240" w:lineRule="auto"/>
    </w:pPr>
    <w:rPr>
      <w:rFonts w:ascii="Times New Roman" w:cs="Times New Roman"/>
      <w:kern w:val="2"/>
    </w:rPr>
  </w:style>
  <w:style w:type="paragraph" w:styleId="46">
    <w:name w:val="toc 8"/>
    <w:basedOn w:val="1"/>
    <w:next w:val="1"/>
    <w:autoRedefine/>
    <w:qFormat/>
    <w:uiPriority w:val="0"/>
    <w:pPr>
      <w:ind w:left="1470"/>
      <w:jc w:val="left"/>
    </w:pPr>
    <w:rPr>
      <w:szCs w:val="21"/>
    </w:rPr>
  </w:style>
  <w:style w:type="paragraph" w:styleId="47">
    <w:name w:val="index 3"/>
    <w:basedOn w:val="1"/>
    <w:next w:val="1"/>
    <w:autoRedefine/>
    <w:qFormat/>
    <w:uiPriority w:val="0"/>
    <w:pPr>
      <w:widowControl w:val="0"/>
      <w:shd w:val="clear" w:color="auto" w:fill="auto"/>
      <w:tabs>
        <w:tab w:val="clear" w:pos="426"/>
      </w:tabs>
      <w:adjustRightInd/>
      <w:snapToGrid/>
      <w:spacing w:line="240" w:lineRule="auto"/>
      <w:ind w:left="630" w:hanging="210"/>
      <w:jc w:val="left"/>
    </w:pPr>
    <w:rPr>
      <w:rFonts w:ascii="Times New Roman" w:cs="Times New Roman"/>
      <w:kern w:val="2"/>
      <w:sz w:val="20"/>
      <w:szCs w:val="20"/>
    </w:rPr>
  </w:style>
  <w:style w:type="paragraph" w:styleId="48">
    <w:name w:val="Date"/>
    <w:basedOn w:val="1"/>
    <w:next w:val="1"/>
    <w:autoRedefine/>
    <w:qFormat/>
    <w:uiPriority w:val="0"/>
    <w:rPr>
      <w:rFonts w:cs="Times New Roman"/>
      <w:kern w:val="2"/>
      <w:sz w:val="32"/>
      <w:szCs w:val="20"/>
    </w:rPr>
  </w:style>
  <w:style w:type="paragraph" w:styleId="49">
    <w:name w:val="Body Text Indent 2"/>
    <w:basedOn w:val="1"/>
    <w:link w:val="116"/>
    <w:autoRedefine/>
    <w:qFormat/>
    <w:uiPriority w:val="0"/>
    <w:pPr>
      <w:spacing w:beforeLines="50" w:afterLines="50" w:line="120" w:lineRule="auto"/>
      <w:ind w:firstLine="400" w:firstLineChars="400"/>
      <w:jc w:val="left"/>
    </w:pPr>
    <w:rPr>
      <w:rFonts w:cs="Times New Roman"/>
      <w:kern w:val="2"/>
    </w:rPr>
  </w:style>
  <w:style w:type="paragraph" w:styleId="50">
    <w:name w:val="endnote text"/>
    <w:basedOn w:val="1"/>
    <w:autoRedefine/>
    <w:qFormat/>
    <w:uiPriority w:val="0"/>
    <w:pPr>
      <w:widowControl w:val="0"/>
      <w:shd w:val="clear" w:color="auto" w:fill="auto"/>
      <w:tabs>
        <w:tab w:val="clear" w:pos="426"/>
      </w:tabs>
      <w:adjustRightInd/>
      <w:spacing w:line="240" w:lineRule="auto"/>
      <w:jc w:val="left"/>
    </w:pPr>
    <w:rPr>
      <w:rFonts w:ascii="Times New Roman" w:cs="Times New Roman"/>
      <w:kern w:val="2"/>
    </w:rPr>
  </w:style>
  <w:style w:type="paragraph" w:styleId="51">
    <w:name w:val="List Continue 5"/>
    <w:basedOn w:val="1"/>
    <w:autoRedefine/>
    <w:qFormat/>
    <w:uiPriority w:val="0"/>
    <w:pPr>
      <w:widowControl w:val="0"/>
      <w:shd w:val="clear" w:color="auto" w:fill="auto"/>
      <w:tabs>
        <w:tab w:val="clear" w:pos="426"/>
      </w:tabs>
      <w:adjustRightInd/>
      <w:snapToGrid/>
      <w:spacing w:after="120" w:line="240" w:lineRule="auto"/>
      <w:ind w:left="1000" w:leftChars="1000"/>
    </w:pPr>
    <w:rPr>
      <w:rFonts w:ascii="Times New Roman" w:cs="Times New Roman"/>
      <w:kern w:val="2"/>
    </w:rPr>
  </w:style>
  <w:style w:type="paragraph" w:styleId="52">
    <w:name w:val="Balloon Text"/>
    <w:basedOn w:val="1"/>
    <w:link w:val="117"/>
    <w:autoRedefine/>
    <w:qFormat/>
    <w:uiPriority w:val="99"/>
    <w:rPr>
      <w:rFonts w:ascii="Times New Roman" w:cs="Times New Roman"/>
      <w:kern w:val="2"/>
      <w:sz w:val="18"/>
      <w:szCs w:val="18"/>
    </w:rPr>
  </w:style>
  <w:style w:type="paragraph" w:styleId="53">
    <w:name w:val="footer"/>
    <w:basedOn w:val="1"/>
    <w:link w:val="118"/>
    <w:autoRedefine/>
    <w:qFormat/>
    <w:uiPriority w:val="0"/>
    <w:pPr>
      <w:tabs>
        <w:tab w:val="center" w:pos="4153"/>
        <w:tab w:val="right" w:pos="8306"/>
      </w:tabs>
      <w:jc w:val="left"/>
    </w:pPr>
    <w:rPr>
      <w:rFonts w:ascii="Times New Roman" w:cs="Times New Roman"/>
      <w:kern w:val="2"/>
      <w:sz w:val="18"/>
      <w:szCs w:val="18"/>
    </w:rPr>
  </w:style>
  <w:style w:type="paragraph" w:styleId="54">
    <w:name w:val="envelope return"/>
    <w:basedOn w:val="1"/>
    <w:autoRedefine/>
    <w:qFormat/>
    <w:uiPriority w:val="0"/>
    <w:pPr>
      <w:widowControl w:val="0"/>
      <w:shd w:val="clear" w:color="auto" w:fill="auto"/>
      <w:tabs>
        <w:tab w:val="clear" w:pos="426"/>
      </w:tabs>
      <w:adjustRightInd/>
      <w:spacing w:line="240" w:lineRule="auto"/>
    </w:pPr>
    <w:rPr>
      <w:rFonts w:ascii="Arial" w:hAnsi="Arial" w:cs="Arial"/>
      <w:kern w:val="2"/>
    </w:rPr>
  </w:style>
  <w:style w:type="paragraph" w:styleId="55">
    <w:name w:val="header"/>
    <w:basedOn w:val="1"/>
    <w:link w:val="119"/>
    <w:autoRedefine/>
    <w:qFormat/>
    <w:uiPriority w:val="99"/>
    <w:pPr>
      <w:pBdr>
        <w:bottom w:val="single" w:color="auto" w:sz="6" w:space="1"/>
      </w:pBdr>
      <w:tabs>
        <w:tab w:val="center" w:pos="4153"/>
        <w:tab w:val="right" w:pos="8306"/>
      </w:tabs>
      <w:jc w:val="center"/>
    </w:pPr>
    <w:rPr>
      <w:rFonts w:ascii="Times New Roman" w:cs="Times New Roman"/>
      <w:kern w:val="2"/>
      <w:sz w:val="18"/>
      <w:szCs w:val="18"/>
    </w:rPr>
  </w:style>
  <w:style w:type="paragraph" w:styleId="56">
    <w:name w:val="Signature"/>
    <w:basedOn w:val="1"/>
    <w:autoRedefine/>
    <w:qFormat/>
    <w:uiPriority w:val="0"/>
    <w:pPr>
      <w:widowControl w:val="0"/>
      <w:shd w:val="clear" w:color="auto" w:fill="auto"/>
      <w:tabs>
        <w:tab w:val="clear" w:pos="426"/>
      </w:tabs>
      <w:adjustRightInd/>
      <w:snapToGrid/>
      <w:spacing w:line="240" w:lineRule="auto"/>
      <w:ind w:left="2100" w:leftChars="2100"/>
    </w:pPr>
    <w:rPr>
      <w:rFonts w:ascii="Times New Roman" w:cs="Times New Roman"/>
      <w:kern w:val="2"/>
    </w:rPr>
  </w:style>
  <w:style w:type="paragraph" w:styleId="57">
    <w:name w:val="toc 1"/>
    <w:basedOn w:val="1"/>
    <w:next w:val="1"/>
    <w:autoRedefine/>
    <w:qFormat/>
    <w:uiPriority w:val="39"/>
    <w:pPr>
      <w:tabs>
        <w:tab w:val="right" w:leader="dot" w:pos="8789"/>
      </w:tabs>
      <w:adjustRightInd/>
      <w:snapToGrid/>
      <w:spacing w:before="120" w:after="120"/>
      <w:jc w:val="left"/>
    </w:pPr>
    <w:rPr>
      <w:b/>
      <w:bCs/>
      <w:caps/>
      <w:sz w:val="28"/>
    </w:rPr>
  </w:style>
  <w:style w:type="paragraph" w:styleId="58">
    <w:name w:val="List Continue 4"/>
    <w:basedOn w:val="1"/>
    <w:autoRedefine/>
    <w:qFormat/>
    <w:uiPriority w:val="0"/>
    <w:pPr>
      <w:widowControl w:val="0"/>
      <w:shd w:val="clear" w:color="auto" w:fill="auto"/>
      <w:tabs>
        <w:tab w:val="clear" w:pos="426"/>
      </w:tabs>
      <w:adjustRightInd/>
      <w:snapToGrid/>
      <w:spacing w:after="120" w:line="240" w:lineRule="auto"/>
      <w:ind w:left="800" w:leftChars="800"/>
    </w:pPr>
    <w:rPr>
      <w:rFonts w:ascii="Times New Roman" w:cs="Times New Roman"/>
      <w:kern w:val="2"/>
    </w:rPr>
  </w:style>
  <w:style w:type="paragraph" w:styleId="59">
    <w:name w:val="toc 4"/>
    <w:basedOn w:val="1"/>
    <w:next w:val="1"/>
    <w:autoRedefine/>
    <w:qFormat/>
    <w:uiPriority w:val="0"/>
    <w:pPr>
      <w:ind w:left="630"/>
      <w:jc w:val="left"/>
    </w:pPr>
    <w:rPr>
      <w:szCs w:val="21"/>
    </w:rPr>
  </w:style>
  <w:style w:type="paragraph" w:styleId="60">
    <w:name w:val="index heading"/>
    <w:basedOn w:val="1"/>
    <w:next w:val="61"/>
    <w:autoRedefine/>
    <w:qFormat/>
    <w:uiPriority w:val="0"/>
    <w:pPr>
      <w:widowControl w:val="0"/>
      <w:shd w:val="clear" w:color="auto" w:fill="auto"/>
      <w:tabs>
        <w:tab w:val="clear" w:pos="426"/>
      </w:tabs>
      <w:adjustRightInd/>
      <w:snapToGrid/>
      <w:spacing w:before="120" w:after="120" w:line="240" w:lineRule="auto"/>
      <w:jc w:val="left"/>
    </w:pPr>
    <w:rPr>
      <w:rFonts w:ascii="Times New Roman" w:cs="Times New Roman"/>
      <w:b/>
      <w:bCs/>
      <w:i/>
      <w:iCs/>
      <w:kern w:val="2"/>
      <w:sz w:val="20"/>
      <w:szCs w:val="20"/>
    </w:rPr>
  </w:style>
  <w:style w:type="paragraph" w:styleId="61">
    <w:name w:val="index 1"/>
    <w:basedOn w:val="1"/>
    <w:next w:val="1"/>
    <w:autoRedefine/>
    <w:qFormat/>
    <w:uiPriority w:val="0"/>
    <w:rPr>
      <w:b/>
      <w:color w:val="0000FF"/>
      <w:sz w:val="24"/>
    </w:rPr>
  </w:style>
  <w:style w:type="paragraph" w:styleId="62">
    <w:name w:val="Subtitle"/>
    <w:basedOn w:val="1"/>
    <w:next w:val="1"/>
    <w:autoRedefine/>
    <w:qFormat/>
    <w:uiPriority w:val="0"/>
    <w:pPr>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autoRedefine/>
    <w:qFormat/>
    <w:uiPriority w:val="0"/>
    <w:pPr>
      <w:widowControl w:val="0"/>
      <w:numPr>
        <w:ilvl w:val="0"/>
        <w:numId w:val="10"/>
      </w:numPr>
      <w:shd w:val="clear" w:color="auto" w:fill="auto"/>
      <w:tabs>
        <w:tab w:val="clear" w:pos="426"/>
      </w:tabs>
      <w:adjustRightInd/>
      <w:snapToGrid/>
      <w:spacing w:line="240" w:lineRule="auto"/>
    </w:pPr>
    <w:rPr>
      <w:rFonts w:ascii="Times New Roman" w:cs="Times New Roman"/>
      <w:kern w:val="2"/>
    </w:rPr>
  </w:style>
  <w:style w:type="paragraph" w:styleId="64">
    <w:name w:val="List"/>
    <w:basedOn w:val="1"/>
    <w:autoRedefine/>
    <w:qFormat/>
    <w:uiPriority w:val="0"/>
    <w:pPr>
      <w:widowControl w:val="0"/>
      <w:shd w:val="clear" w:color="auto" w:fill="auto"/>
      <w:tabs>
        <w:tab w:val="clear" w:pos="426"/>
      </w:tabs>
      <w:adjustRightInd/>
      <w:snapToGrid/>
      <w:spacing w:line="240" w:lineRule="auto"/>
      <w:ind w:left="200" w:hanging="200" w:hangingChars="200"/>
    </w:pPr>
    <w:rPr>
      <w:rFonts w:ascii="Times New Roman" w:cs="Times New Roman"/>
      <w:kern w:val="2"/>
    </w:rPr>
  </w:style>
  <w:style w:type="paragraph" w:styleId="65">
    <w:name w:val="footnote text"/>
    <w:basedOn w:val="1"/>
    <w:link w:val="120"/>
    <w:autoRedefine/>
    <w:qFormat/>
    <w:uiPriority w:val="0"/>
    <w:pPr>
      <w:widowControl w:val="0"/>
      <w:shd w:val="clear" w:color="auto" w:fill="auto"/>
      <w:tabs>
        <w:tab w:val="clear" w:pos="426"/>
      </w:tabs>
      <w:adjustRightInd/>
      <w:spacing w:line="240" w:lineRule="auto"/>
      <w:jc w:val="left"/>
    </w:pPr>
    <w:rPr>
      <w:rFonts w:ascii="Times New Roman" w:cs="Times New Roman"/>
      <w:kern w:val="2"/>
      <w:sz w:val="18"/>
    </w:rPr>
  </w:style>
  <w:style w:type="paragraph" w:styleId="66">
    <w:name w:val="toc 6"/>
    <w:basedOn w:val="1"/>
    <w:next w:val="1"/>
    <w:autoRedefine/>
    <w:qFormat/>
    <w:uiPriority w:val="0"/>
    <w:pPr>
      <w:ind w:left="1050"/>
      <w:jc w:val="left"/>
    </w:pPr>
    <w:rPr>
      <w:szCs w:val="21"/>
    </w:rPr>
  </w:style>
  <w:style w:type="paragraph" w:styleId="67">
    <w:name w:val="List 5"/>
    <w:basedOn w:val="1"/>
    <w:autoRedefine/>
    <w:qFormat/>
    <w:uiPriority w:val="0"/>
    <w:pPr>
      <w:widowControl w:val="0"/>
      <w:shd w:val="clear" w:color="auto" w:fill="auto"/>
      <w:tabs>
        <w:tab w:val="clear" w:pos="426"/>
      </w:tabs>
      <w:adjustRightInd/>
      <w:snapToGrid/>
      <w:spacing w:line="240" w:lineRule="auto"/>
      <w:ind w:left="1000" w:leftChars="800" w:hanging="200" w:hangingChars="200"/>
    </w:pPr>
    <w:rPr>
      <w:rFonts w:ascii="Times New Roman" w:cs="Times New Roman"/>
      <w:kern w:val="2"/>
    </w:rPr>
  </w:style>
  <w:style w:type="paragraph" w:styleId="68">
    <w:name w:val="Body Text Indent 3"/>
    <w:basedOn w:val="1"/>
    <w:link w:val="121"/>
    <w:autoRedefine/>
    <w:qFormat/>
    <w:uiPriority w:val="0"/>
    <w:pPr>
      <w:ind w:firstLine="200" w:firstLineChars="200"/>
    </w:pPr>
    <w:rPr>
      <w:rFonts w:cs="Times New Roman"/>
      <w:b/>
      <w:bCs/>
      <w:kern w:val="2"/>
      <w:sz w:val="24"/>
    </w:rPr>
  </w:style>
  <w:style w:type="paragraph" w:styleId="69">
    <w:name w:val="index 7"/>
    <w:basedOn w:val="1"/>
    <w:next w:val="1"/>
    <w:autoRedefine/>
    <w:qFormat/>
    <w:uiPriority w:val="0"/>
    <w:pPr>
      <w:widowControl w:val="0"/>
      <w:shd w:val="clear" w:color="auto" w:fill="auto"/>
      <w:tabs>
        <w:tab w:val="clear" w:pos="426"/>
      </w:tabs>
      <w:adjustRightInd/>
      <w:snapToGrid/>
      <w:spacing w:line="240" w:lineRule="auto"/>
      <w:ind w:left="1470" w:hanging="210"/>
      <w:jc w:val="left"/>
    </w:pPr>
    <w:rPr>
      <w:rFonts w:ascii="Times New Roman" w:cs="Times New Roman"/>
      <w:kern w:val="2"/>
      <w:sz w:val="20"/>
      <w:szCs w:val="20"/>
    </w:rPr>
  </w:style>
  <w:style w:type="paragraph" w:styleId="70">
    <w:name w:val="index 9"/>
    <w:basedOn w:val="1"/>
    <w:next w:val="1"/>
    <w:autoRedefine/>
    <w:qFormat/>
    <w:uiPriority w:val="0"/>
    <w:pPr>
      <w:widowControl w:val="0"/>
      <w:shd w:val="clear" w:color="auto" w:fill="auto"/>
      <w:tabs>
        <w:tab w:val="clear" w:pos="426"/>
      </w:tabs>
      <w:adjustRightInd/>
      <w:snapToGrid/>
      <w:spacing w:line="240" w:lineRule="auto"/>
      <w:ind w:left="1890" w:hanging="210"/>
      <w:jc w:val="left"/>
    </w:pPr>
    <w:rPr>
      <w:rFonts w:ascii="Times New Roman" w:cs="Times New Roman"/>
      <w:kern w:val="2"/>
      <w:sz w:val="20"/>
      <w:szCs w:val="20"/>
    </w:rPr>
  </w:style>
  <w:style w:type="paragraph" w:styleId="71">
    <w:name w:val="toc 2"/>
    <w:basedOn w:val="1"/>
    <w:next w:val="1"/>
    <w:autoRedefine/>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autoRedefine/>
    <w:qFormat/>
    <w:uiPriority w:val="0"/>
    <w:pPr>
      <w:ind w:left="1680"/>
      <w:jc w:val="left"/>
    </w:pPr>
    <w:rPr>
      <w:szCs w:val="21"/>
    </w:rPr>
  </w:style>
  <w:style w:type="paragraph" w:styleId="73">
    <w:name w:val="Body Text 2"/>
    <w:basedOn w:val="1"/>
    <w:link w:val="122"/>
    <w:autoRedefine/>
    <w:qFormat/>
    <w:uiPriority w:val="0"/>
    <w:rPr>
      <w:rFonts w:ascii="Times New Roman" w:cs="Times New Roman"/>
      <w:kern w:val="2"/>
      <w:sz w:val="24"/>
    </w:rPr>
  </w:style>
  <w:style w:type="paragraph" w:styleId="74">
    <w:name w:val="List 4"/>
    <w:basedOn w:val="1"/>
    <w:autoRedefine/>
    <w:qFormat/>
    <w:uiPriority w:val="0"/>
    <w:pPr>
      <w:widowControl w:val="0"/>
      <w:shd w:val="clear" w:color="auto" w:fill="auto"/>
      <w:tabs>
        <w:tab w:val="clear" w:pos="426"/>
      </w:tabs>
      <w:adjustRightInd/>
      <w:snapToGrid/>
      <w:spacing w:line="240" w:lineRule="auto"/>
      <w:ind w:left="800" w:leftChars="600" w:hanging="200" w:hangingChars="200"/>
    </w:pPr>
    <w:rPr>
      <w:rFonts w:ascii="Times New Roman" w:cs="Times New Roman"/>
      <w:kern w:val="2"/>
    </w:rPr>
  </w:style>
  <w:style w:type="paragraph" w:styleId="75">
    <w:name w:val="List Continue 2"/>
    <w:basedOn w:val="1"/>
    <w:autoRedefine/>
    <w:qFormat/>
    <w:uiPriority w:val="0"/>
    <w:pPr>
      <w:widowControl w:val="0"/>
      <w:shd w:val="clear" w:color="auto" w:fill="auto"/>
      <w:tabs>
        <w:tab w:val="clear" w:pos="426"/>
      </w:tabs>
      <w:adjustRightInd/>
      <w:snapToGrid/>
      <w:spacing w:after="120" w:line="240" w:lineRule="auto"/>
      <w:ind w:left="400" w:leftChars="400"/>
    </w:pPr>
    <w:rPr>
      <w:rFonts w:ascii="Times New Roman" w:cs="Times New Roman"/>
      <w:kern w:val="2"/>
    </w:rPr>
  </w:style>
  <w:style w:type="paragraph" w:styleId="76">
    <w:name w:val="Message Header"/>
    <w:basedOn w:val="1"/>
    <w:autoRedefine/>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00" w:leftChars="500" w:hanging="500" w:hangingChars="500"/>
    </w:pPr>
    <w:rPr>
      <w:rFonts w:ascii="Arial" w:hAnsi="Arial" w:cs="Times New Roman"/>
      <w:kern w:val="2"/>
      <w:sz w:val="24"/>
    </w:rPr>
  </w:style>
  <w:style w:type="paragraph" w:styleId="77">
    <w:name w:val="HTML Preformatted"/>
    <w:basedOn w:val="1"/>
    <w:link w:val="123"/>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cs="Times New Roman"/>
      <w:color w:val="000000"/>
      <w:sz w:val="20"/>
      <w:szCs w:val="20"/>
    </w:rPr>
  </w:style>
  <w:style w:type="paragraph" w:styleId="78">
    <w:name w:val="Normal (Web)"/>
    <w:basedOn w:val="1"/>
    <w:autoRedefine/>
    <w:qFormat/>
    <w:uiPriority w:val="0"/>
    <w:rPr>
      <w:sz w:val="24"/>
    </w:rPr>
  </w:style>
  <w:style w:type="paragraph" w:styleId="79">
    <w:name w:val="List Continue 3"/>
    <w:basedOn w:val="1"/>
    <w:autoRedefine/>
    <w:qFormat/>
    <w:uiPriority w:val="0"/>
    <w:pPr>
      <w:widowControl w:val="0"/>
      <w:shd w:val="clear" w:color="auto" w:fill="auto"/>
      <w:tabs>
        <w:tab w:val="clear" w:pos="426"/>
      </w:tabs>
      <w:adjustRightInd/>
      <w:snapToGrid/>
      <w:spacing w:after="120" w:line="240" w:lineRule="auto"/>
      <w:ind w:left="600" w:leftChars="600"/>
    </w:pPr>
    <w:rPr>
      <w:rFonts w:ascii="Times New Roman" w:cs="Times New Roman"/>
      <w:kern w:val="2"/>
    </w:rPr>
  </w:style>
  <w:style w:type="paragraph" w:styleId="80">
    <w:name w:val="index 2"/>
    <w:basedOn w:val="1"/>
    <w:next w:val="1"/>
    <w:autoRedefine/>
    <w:qFormat/>
    <w:uiPriority w:val="0"/>
    <w:pPr>
      <w:widowControl w:val="0"/>
      <w:shd w:val="clear" w:color="auto" w:fill="auto"/>
      <w:tabs>
        <w:tab w:val="clear" w:pos="426"/>
      </w:tabs>
      <w:adjustRightInd/>
      <w:snapToGrid/>
      <w:spacing w:line="240" w:lineRule="auto"/>
      <w:ind w:left="420" w:hanging="210"/>
      <w:jc w:val="left"/>
    </w:pPr>
    <w:rPr>
      <w:rFonts w:ascii="Times New Roman" w:cs="Times New Roman"/>
      <w:kern w:val="2"/>
      <w:sz w:val="20"/>
      <w:szCs w:val="20"/>
    </w:rPr>
  </w:style>
  <w:style w:type="paragraph" w:styleId="81">
    <w:name w:val="Title"/>
    <w:basedOn w:val="1"/>
    <w:link w:val="124"/>
    <w:autoRedefine/>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25"/>
    <w:autoRedefine/>
    <w:qFormat/>
    <w:uiPriority w:val="0"/>
    <w:pPr>
      <w:autoSpaceDE/>
      <w:autoSpaceDN/>
      <w:adjustRightInd/>
      <w:textAlignment w:val="auto"/>
    </w:pPr>
    <w:rPr>
      <w:rFonts w:ascii="Times New Roman"/>
      <w:b/>
      <w:bCs/>
      <w:kern w:val="2"/>
      <w:sz w:val="21"/>
      <w:szCs w:val="24"/>
    </w:rPr>
  </w:style>
  <w:style w:type="paragraph" w:styleId="83">
    <w:name w:val="Body Text First Indent"/>
    <w:basedOn w:val="32"/>
    <w:autoRedefine/>
    <w:qFormat/>
    <w:uiPriority w:val="0"/>
    <w:pPr>
      <w:widowControl w:val="0"/>
      <w:shd w:val="clear" w:color="auto" w:fill="auto"/>
      <w:tabs>
        <w:tab w:val="clear" w:pos="426"/>
      </w:tabs>
      <w:adjustRightInd/>
      <w:snapToGrid/>
      <w:spacing w:after="120" w:line="240" w:lineRule="auto"/>
      <w:ind w:firstLine="100" w:firstLineChars="100"/>
    </w:pPr>
    <w:rPr>
      <w:kern w:val="2"/>
      <w:sz w:val="21"/>
    </w:rPr>
  </w:style>
  <w:style w:type="paragraph" w:styleId="84">
    <w:name w:val="Body Text First Indent 2"/>
    <w:basedOn w:val="33"/>
    <w:autoRedefine/>
    <w:qFormat/>
    <w:uiPriority w:val="0"/>
    <w:pPr>
      <w:widowControl w:val="0"/>
      <w:shd w:val="clear" w:color="auto" w:fill="auto"/>
      <w:tabs>
        <w:tab w:val="clear" w:pos="426"/>
      </w:tabs>
      <w:adjustRightInd/>
      <w:snapToGrid/>
      <w:spacing w:after="120" w:line="240" w:lineRule="auto"/>
      <w:ind w:left="200" w:leftChars="200"/>
    </w:pPr>
  </w:style>
  <w:style w:type="table" w:styleId="86">
    <w:name w:val="Table Grid"/>
    <w:basedOn w:val="8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8">
    <w:name w:val="Strong"/>
    <w:autoRedefine/>
    <w:qFormat/>
    <w:uiPriority w:val="0"/>
    <w:rPr>
      <w:b/>
      <w:bCs/>
    </w:rPr>
  </w:style>
  <w:style w:type="character" w:styleId="89">
    <w:name w:val="endnote reference"/>
    <w:autoRedefine/>
    <w:qFormat/>
    <w:uiPriority w:val="0"/>
    <w:rPr>
      <w:vertAlign w:val="superscript"/>
    </w:rPr>
  </w:style>
  <w:style w:type="character" w:styleId="90">
    <w:name w:val="page number"/>
    <w:autoRedefine/>
    <w:qFormat/>
    <w:uiPriority w:val="0"/>
  </w:style>
  <w:style w:type="character" w:styleId="91">
    <w:name w:val="FollowedHyperlink"/>
    <w:autoRedefine/>
    <w:qFormat/>
    <w:uiPriority w:val="0"/>
    <w:rPr>
      <w:color w:val="800080"/>
      <w:u w:val="single"/>
    </w:rPr>
  </w:style>
  <w:style w:type="character" w:styleId="92">
    <w:name w:val="Emphasis"/>
    <w:autoRedefine/>
    <w:qFormat/>
    <w:uiPriority w:val="20"/>
    <w:rPr>
      <w:i/>
      <w:iCs/>
    </w:rPr>
  </w:style>
  <w:style w:type="character" w:styleId="93">
    <w:name w:val="line number"/>
    <w:autoRedefine/>
    <w:qFormat/>
    <w:uiPriority w:val="0"/>
  </w:style>
  <w:style w:type="character" w:styleId="94">
    <w:name w:val="HTML Definition"/>
    <w:autoRedefine/>
    <w:qFormat/>
    <w:uiPriority w:val="0"/>
    <w:rPr>
      <w:i/>
      <w:iCs/>
    </w:rPr>
  </w:style>
  <w:style w:type="character" w:styleId="95">
    <w:name w:val="HTML Typewriter"/>
    <w:autoRedefine/>
    <w:qFormat/>
    <w:uiPriority w:val="0"/>
    <w:rPr>
      <w:rFonts w:ascii="Courier New" w:hAnsi="Courier New" w:cs="Courier New"/>
      <w:sz w:val="20"/>
      <w:szCs w:val="20"/>
      <w:lang w:bidi="ar-SA"/>
    </w:rPr>
  </w:style>
  <w:style w:type="character" w:styleId="96">
    <w:name w:val="HTML Acronym"/>
    <w:autoRedefine/>
    <w:qFormat/>
    <w:uiPriority w:val="0"/>
  </w:style>
  <w:style w:type="character" w:styleId="97">
    <w:name w:val="HTML Variable"/>
    <w:autoRedefine/>
    <w:qFormat/>
    <w:uiPriority w:val="0"/>
    <w:rPr>
      <w:i/>
      <w:iCs/>
    </w:rPr>
  </w:style>
  <w:style w:type="character" w:styleId="98">
    <w:name w:val="Hyperlink"/>
    <w:autoRedefine/>
    <w:qFormat/>
    <w:uiPriority w:val="99"/>
    <w:rPr>
      <w:color w:val="0000FF"/>
      <w:u w:val="single"/>
    </w:rPr>
  </w:style>
  <w:style w:type="character" w:styleId="99">
    <w:name w:val="HTML Code"/>
    <w:autoRedefine/>
    <w:qFormat/>
    <w:uiPriority w:val="0"/>
    <w:rPr>
      <w:rFonts w:ascii="Courier New" w:hAnsi="Courier New" w:cs="Courier New"/>
      <w:sz w:val="20"/>
      <w:szCs w:val="20"/>
      <w:lang w:bidi="ar-SA"/>
    </w:rPr>
  </w:style>
  <w:style w:type="character" w:styleId="100">
    <w:name w:val="annotation reference"/>
    <w:autoRedefine/>
    <w:qFormat/>
    <w:uiPriority w:val="99"/>
    <w:rPr>
      <w:sz w:val="21"/>
      <w:szCs w:val="21"/>
    </w:rPr>
  </w:style>
  <w:style w:type="character" w:styleId="101">
    <w:name w:val="HTML Cite"/>
    <w:autoRedefine/>
    <w:qFormat/>
    <w:uiPriority w:val="0"/>
    <w:rPr>
      <w:i/>
      <w:iCs/>
    </w:rPr>
  </w:style>
  <w:style w:type="character" w:styleId="102">
    <w:name w:val="footnote reference"/>
    <w:autoRedefine/>
    <w:qFormat/>
    <w:uiPriority w:val="0"/>
    <w:rPr>
      <w:vertAlign w:val="superscript"/>
    </w:rPr>
  </w:style>
  <w:style w:type="character" w:styleId="103">
    <w:name w:val="HTML Keyboard"/>
    <w:autoRedefine/>
    <w:qFormat/>
    <w:uiPriority w:val="0"/>
    <w:rPr>
      <w:rFonts w:ascii="Courier New" w:hAnsi="Courier New" w:cs="Courier New"/>
      <w:sz w:val="20"/>
      <w:szCs w:val="20"/>
      <w:lang w:bidi="ar-SA"/>
    </w:rPr>
  </w:style>
  <w:style w:type="character" w:styleId="104">
    <w:name w:val="HTML Sample"/>
    <w:autoRedefine/>
    <w:qFormat/>
    <w:uiPriority w:val="0"/>
    <w:rPr>
      <w:rFonts w:ascii="Courier New" w:hAnsi="Courier New" w:cs="Courier New"/>
      <w:lang w:bidi="ar-SA"/>
    </w:rPr>
  </w:style>
  <w:style w:type="character" w:customStyle="1" w:styleId="105">
    <w:name w:val="标题 3 字符"/>
    <w:link w:val="3"/>
    <w:autoRedefine/>
    <w:qFormat/>
    <w:uiPriority w:val="0"/>
    <w:rPr>
      <w:rFonts w:ascii="宋体" w:cs="宋体"/>
      <w:bCs/>
      <w:kern w:val="2"/>
      <w:sz w:val="21"/>
      <w:szCs w:val="21"/>
    </w:rPr>
  </w:style>
  <w:style w:type="character" w:customStyle="1" w:styleId="106">
    <w:name w:val="标题 2 字符"/>
    <w:link w:val="4"/>
    <w:autoRedefine/>
    <w:qFormat/>
    <w:uiPriority w:val="0"/>
    <w:rPr>
      <w:rFonts w:ascii="宋体" w:cs="宋体"/>
      <w:sz w:val="21"/>
    </w:rPr>
  </w:style>
  <w:style w:type="character" w:customStyle="1" w:styleId="107">
    <w:name w:val="标题 4 字符"/>
    <w:link w:val="5"/>
    <w:autoRedefine/>
    <w:qFormat/>
    <w:uiPriority w:val="0"/>
    <w:rPr>
      <w:rFonts w:ascii="Arial" w:hAnsi="Arial" w:eastAsia="黑体"/>
      <w:b/>
      <w:bCs/>
      <w:kern w:val="2"/>
      <w:sz w:val="28"/>
      <w:szCs w:val="28"/>
      <w:shd w:val="clear" w:color="auto" w:fill="FFFFFF"/>
    </w:rPr>
  </w:style>
  <w:style w:type="character" w:customStyle="1" w:styleId="108">
    <w:name w:val="标题 5 字符"/>
    <w:link w:val="6"/>
    <w:autoRedefine/>
    <w:qFormat/>
    <w:uiPriority w:val="0"/>
    <w:rPr>
      <w:b/>
      <w:kern w:val="2"/>
      <w:sz w:val="24"/>
      <w:shd w:val="clear" w:color="auto" w:fill="FFFFFF"/>
    </w:rPr>
  </w:style>
  <w:style w:type="character" w:customStyle="1" w:styleId="109">
    <w:name w:val="正文缩进 字符"/>
    <w:link w:val="7"/>
    <w:autoRedefine/>
    <w:qFormat/>
    <w:uiPriority w:val="0"/>
    <w:rPr>
      <w:kern w:val="2"/>
      <w:sz w:val="21"/>
      <w:shd w:val="clear" w:color="auto" w:fill="FFFFFF"/>
    </w:rPr>
  </w:style>
  <w:style w:type="character" w:customStyle="1" w:styleId="110">
    <w:name w:val="标题 7 字符"/>
    <w:link w:val="9"/>
    <w:autoRedefine/>
    <w:qFormat/>
    <w:uiPriority w:val="0"/>
    <w:rPr>
      <w:b/>
      <w:kern w:val="2"/>
      <w:sz w:val="24"/>
      <w:shd w:val="clear" w:color="auto" w:fill="FFFFFF"/>
    </w:rPr>
  </w:style>
  <w:style w:type="character" w:customStyle="1" w:styleId="111">
    <w:name w:val="标题 8 字符"/>
    <w:link w:val="10"/>
    <w:autoRedefine/>
    <w:qFormat/>
    <w:uiPriority w:val="0"/>
    <w:rPr>
      <w:rFonts w:ascii="Arial" w:hAnsi="Arial" w:eastAsia="黑体"/>
      <w:kern w:val="2"/>
      <w:sz w:val="24"/>
      <w:shd w:val="clear" w:color="auto" w:fill="FFFFFF"/>
    </w:rPr>
  </w:style>
  <w:style w:type="character" w:customStyle="1" w:styleId="112">
    <w:name w:val="标题 9 字符"/>
    <w:link w:val="11"/>
    <w:autoRedefine/>
    <w:qFormat/>
    <w:uiPriority w:val="0"/>
    <w:rPr>
      <w:rFonts w:ascii="Arial" w:hAnsi="Arial" w:eastAsia="黑体"/>
      <w:kern w:val="2"/>
      <w:sz w:val="21"/>
      <w:shd w:val="clear" w:color="auto" w:fill="FFFFFF"/>
    </w:rPr>
  </w:style>
  <w:style w:type="character" w:customStyle="1" w:styleId="113">
    <w:name w:val="批注文字 字符1"/>
    <w:link w:val="26"/>
    <w:autoRedefine/>
    <w:qFormat/>
    <w:uiPriority w:val="0"/>
    <w:rPr>
      <w:rFonts w:ascii="宋体"/>
      <w:sz w:val="34"/>
      <w:shd w:val="clear" w:color="auto" w:fill="FFFFFF"/>
    </w:rPr>
  </w:style>
  <w:style w:type="character" w:customStyle="1" w:styleId="114">
    <w:name w:val="正文文本 3 字符"/>
    <w:link w:val="29"/>
    <w:autoRedefine/>
    <w:qFormat/>
    <w:uiPriority w:val="0"/>
    <w:rPr>
      <w:kern w:val="2"/>
      <w:sz w:val="16"/>
      <w:szCs w:val="16"/>
      <w:shd w:val="clear" w:color="auto" w:fill="FFFFFF"/>
    </w:rPr>
  </w:style>
  <w:style w:type="character" w:customStyle="1" w:styleId="115">
    <w:name w:val="正文文本缩进 字符"/>
    <w:link w:val="33"/>
    <w:autoRedefine/>
    <w:qFormat/>
    <w:uiPriority w:val="0"/>
    <w:rPr>
      <w:kern w:val="2"/>
      <w:sz w:val="21"/>
      <w:szCs w:val="24"/>
      <w:shd w:val="clear" w:color="auto" w:fill="FFFFFF"/>
    </w:rPr>
  </w:style>
  <w:style w:type="character" w:customStyle="1" w:styleId="116">
    <w:name w:val="正文文本缩进 2 字符"/>
    <w:link w:val="49"/>
    <w:autoRedefine/>
    <w:qFormat/>
    <w:uiPriority w:val="0"/>
    <w:rPr>
      <w:rFonts w:ascii="宋体"/>
      <w:kern w:val="2"/>
      <w:sz w:val="21"/>
      <w:szCs w:val="24"/>
      <w:shd w:val="clear" w:color="auto" w:fill="FFFFFF"/>
    </w:rPr>
  </w:style>
  <w:style w:type="character" w:customStyle="1" w:styleId="117">
    <w:name w:val="批注框文本 字符1"/>
    <w:link w:val="52"/>
    <w:autoRedefine/>
    <w:qFormat/>
    <w:uiPriority w:val="0"/>
    <w:rPr>
      <w:kern w:val="2"/>
      <w:sz w:val="18"/>
      <w:szCs w:val="18"/>
      <w:shd w:val="clear" w:color="auto" w:fill="FFFFFF"/>
    </w:rPr>
  </w:style>
  <w:style w:type="character" w:customStyle="1" w:styleId="118">
    <w:name w:val="页脚 字符1"/>
    <w:link w:val="53"/>
    <w:autoRedefine/>
    <w:qFormat/>
    <w:uiPriority w:val="0"/>
    <w:rPr>
      <w:kern w:val="2"/>
      <w:sz w:val="18"/>
      <w:szCs w:val="18"/>
      <w:shd w:val="clear" w:color="auto" w:fill="FFFFFF"/>
    </w:rPr>
  </w:style>
  <w:style w:type="character" w:customStyle="1" w:styleId="119">
    <w:name w:val="页眉 字符1"/>
    <w:link w:val="55"/>
    <w:autoRedefine/>
    <w:qFormat/>
    <w:uiPriority w:val="0"/>
    <w:rPr>
      <w:kern w:val="2"/>
      <w:sz w:val="18"/>
      <w:szCs w:val="18"/>
      <w:shd w:val="clear" w:color="auto" w:fill="FFFFFF"/>
    </w:rPr>
  </w:style>
  <w:style w:type="character" w:customStyle="1" w:styleId="120">
    <w:name w:val="脚注文本 字符"/>
    <w:link w:val="65"/>
    <w:autoRedefine/>
    <w:qFormat/>
    <w:uiPriority w:val="0"/>
    <w:rPr>
      <w:kern w:val="2"/>
      <w:sz w:val="18"/>
      <w:szCs w:val="24"/>
    </w:rPr>
  </w:style>
  <w:style w:type="character" w:customStyle="1" w:styleId="121">
    <w:name w:val="正文文本缩进 3 字符"/>
    <w:link w:val="68"/>
    <w:autoRedefine/>
    <w:qFormat/>
    <w:uiPriority w:val="0"/>
    <w:rPr>
      <w:rFonts w:ascii="宋体"/>
      <w:b/>
      <w:bCs/>
      <w:kern w:val="2"/>
      <w:sz w:val="24"/>
      <w:szCs w:val="24"/>
      <w:shd w:val="clear" w:color="auto" w:fill="FFFFFF"/>
    </w:rPr>
  </w:style>
  <w:style w:type="character" w:customStyle="1" w:styleId="122">
    <w:name w:val="正文文本 2 字符"/>
    <w:link w:val="73"/>
    <w:autoRedefine/>
    <w:qFormat/>
    <w:uiPriority w:val="0"/>
    <w:rPr>
      <w:kern w:val="2"/>
      <w:sz w:val="24"/>
      <w:szCs w:val="24"/>
      <w:shd w:val="clear" w:color="auto" w:fill="FFFFFF"/>
    </w:rPr>
  </w:style>
  <w:style w:type="character" w:customStyle="1" w:styleId="123">
    <w:name w:val="HTML 预设格式 字符"/>
    <w:link w:val="77"/>
    <w:autoRedefine/>
    <w:qFormat/>
    <w:uiPriority w:val="0"/>
    <w:rPr>
      <w:rFonts w:ascii="Arial Unicode MS" w:eastAsia="Arial Unicode MS"/>
      <w:color w:val="000000"/>
      <w:shd w:val="clear" w:color="auto" w:fill="FFFFFF"/>
    </w:rPr>
  </w:style>
  <w:style w:type="character" w:customStyle="1" w:styleId="124">
    <w:name w:val="标题 字符"/>
    <w:link w:val="81"/>
    <w:autoRedefine/>
    <w:qFormat/>
    <w:uiPriority w:val="0"/>
    <w:rPr>
      <w:rFonts w:ascii="Arial" w:hAnsi="Arial"/>
      <w:b/>
      <w:bCs/>
      <w:kern w:val="2"/>
      <w:sz w:val="36"/>
      <w:szCs w:val="32"/>
      <w:shd w:val="clear" w:color="auto" w:fill="FFFFFF"/>
    </w:rPr>
  </w:style>
  <w:style w:type="character" w:customStyle="1" w:styleId="125">
    <w:name w:val="批注主题 字符"/>
    <w:link w:val="82"/>
    <w:autoRedefine/>
    <w:qFormat/>
    <w:uiPriority w:val="0"/>
    <w:rPr>
      <w:b/>
      <w:bCs/>
      <w:kern w:val="2"/>
      <w:sz w:val="21"/>
      <w:szCs w:val="24"/>
      <w:shd w:val="clear" w:color="auto" w:fill="FFFFFF"/>
    </w:rPr>
  </w:style>
  <w:style w:type="paragraph" w:customStyle="1" w:styleId="126">
    <w:name w:val="Char"/>
    <w:basedOn w:val="1"/>
    <w:autoRedefine/>
    <w:qFormat/>
    <w:uiPriority w:val="0"/>
    <w:pPr>
      <w:spacing w:after="160" w:line="240" w:lineRule="exact"/>
      <w:jc w:val="left"/>
    </w:pPr>
    <w:rPr>
      <w:rFonts w:ascii="Verdana" w:hAnsi="Verdana" w:eastAsia="仿宋_GB2312"/>
      <w:sz w:val="24"/>
      <w:szCs w:val="20"/>
      <w:lang w:eastAsia="en-US"/>
    </w:rPr>
  </w:style>
  <w:style w:type="character" w:customStyle="1" w:styleId="127">
    <w:name w:val="标题 3 Char"/>
    <w:autoRedefine/>
    <w:qFormat/>
    <w:uiPriority w:val="0"/>
    <w:rPr>
      <w:rFonts w:ascii="黑体" w:eastAsia="黑体"/>
      <w:bCs/>
      <w:sz w:val="30"/>
    </w:rPr>
  </w:style>
  <w:style w:type="paragraph" w:customStyle="1" w:styleId="128">
    <w:name w:val="样式41"/>
    <w:basedOn w:val="1"/>
    <w:autoRedefine/>
    <w:qFormat/>
    <w:uiPriority w:val="0"/>
    <w:pPr>
      <w:tabs>
        <w:tab w:val="left" w:pos="945"/>
        <w:tab w:val="left" w:pos="2040"/>
      </w:tabs>
      <w:ind w:left="1000" w:leftChars="800" w:hanging="200" w:hangingChars="200"/>
    </w:pPr>
    <w:rPr>
      <w:b/>
      <w:color w:val="000000"/>
      <w:sz w:val="24"/>
      <w:szCs w:val="20"/>
    </w:rPr>
  </w:style>
  <w:style w:type="paragraph" w:customStyle="1" w:styleId="129">
    <w:name w:val="图"/>
    <w:basedOn w:val="1"/>
    <w:autoRedefine/>
    <w:qFormat/>
    <w:uiPriority w:val="0"/>
    <w:pPr>
      <w:keepNext/>
      <w:spacing w:before="60" w:after="60" w:line="300" w:lineRule="auto"/>
      <w:jc w:val="center"/>
    </w:pPr>
    <w:rPr>
      <w:spacing w:val="20"/>
      <w:sz w:val="24"/>
      <w:szCs w:val="20"/>
    </w:rPr>
  </w:style>
  <w:style w:type="paragraph" w:customStyle="1" w:styleId="130">
    <w:name w:val="文档正文"/>
    <w:basedOn w:val="1"/>
    <w:autoRedefine/>
    <w:qFormat/>
    <w:uiPriority w:val="99"/>
    <w:pPr>
      <w:spacing w:line="480" w:lineRule="atLeast"/>
      <w:ind w:firstLine="200" w:firstLineChars="200"/>
      <w:textAlignment w:val="baseline"/>
    </w:pPr>
    <w:rPr>
      <w:rFonts w:ascii="长城仿宋" w:hAnsi="长城仿宋"/>
      <w:szCs w:val="20"/>
    </w:rPr>
  </w:style>
  <w:style w:type="paragraph" w:customStyle="1" w:styleId="131">
    <w:name w:val="Char Char Char Char"/>
    <w:basedOn w:val="1"/>
    <w:autoRedefine/>
    <w:qFormat/>
    <w:uiPriority w:val="0"/>
    <w:pPr>
      <w:spacing w:after="160" w:line="240" w:lineRule="exact"/>
      <w:jc w:val="left"/>
    </w:pPr>
    <w:rPr>
      <w:rFonts w:ascii="Verdana" w:hAnsi="Verdana" w:eastAsia="仿宋_GB2312"/>
      <w:sz w:val="24"/>
      <w:szCs w:val="20"/>
      <w:lang w:eastAsia="en-US"/>
    </w:rPr>
  </w:style>
  <w:style w:type="paragraph" w:customStyle="1" w:styleId="132">
    <w:name w:val="Char1"/>
    <w:basedOn w:val="1"/>
    <w:autoRedefine/>
    <w:qFormat/>
    <w:uiPriority w:val="0"/>
    <w:pPr>
      <w:spacing w:after="160" w:line="240" w:lineRule="exact"/>
      <w:jc w:val="left"/>
    </w:pPr>
    <w:rPr>
      <w:rFonts w:ascii="Verdana" w:hAnsi="Verdana" w:eastAsia="仿宋_GB2312"/>
      <w:sz w:val="24"/>
      <w:szCs w:val="20"/>
      <w:lang w:eastAsia="en-US"/>
    </w:rPr>
  </w:style>
  <w:style w:type="paragraph" w:customStyle="1" w:styleId="133">
    <w:name w:val="Char Char Char Char1"/>
    <w:basedOn w:val="1"/>
    <w:autoRedefine/>
    <w:qFormat/>
    <w:uiPriority w:val="0"/>
    <w:pPr>
      <w:spacing w:after="160" w:line="240" w:lineRule="exact"/>
      <w:jc w:val="left"/>
    </w:pPr>
    <w:rPr>
      <w:rFonts w:ascii="Verdana" w:hAnsi="Verdana" w:eastAsia="仿宋_GB2312"/>
      <w:sz w:val="24"/>
      <w:szCs w:val="20"/>
      <w:lang w:eastAsia="en-US"/>
    </w:rPr>
  </w:style>
  <w:style w:type="paragraph" w:customStyle="1" w:styleId="134">
    <w:name w:val="Table Contents"/>
    <w:basedOn w:val="1"/>
    <w:autoRedefine/>
    <w:qFormat/>
    <w:uiPriority w:val="0"/>
    <w:pPr>
      <w:suppressAutoHyphens/>
      <w:autoSpaceDE w:val="0"/>
      <w:spacing w:after="120"/>
      <w:jc w:val="left"/>
    </w:pPr>
    <w:rPr>
      <w:rFonts w:ascii="Helvetica" w:hAnsi="Helvetica"/>
      <w:kern w:val="2"/>
      <w:sz w:val="20"/>
      <w:szCs w:val="20"/>
    </w:rPr>
  </w:style>
  <w:style w:type="paragraph" w:customStyle="1" w:styleId="135">
    <w:name w:val="自定义正文"/>
    <w:basedOn w:val="1"/>
    <w:autoRedefine/>
    <w:qFormat/>
    <w:uiPriority w:val="0"/>
    <w:pPr>
      <w:spacing w:afterLines="50"/>
      <w:ind w:left="600" w:leftChars="600"/>
    </w:pPr>
  </w:style>
  <w:style w:type="paragraph" w:customStyle="1" w:styleId="136">
    <w:name w:val="Char Char Char Char Char"/>
    <w:basedOn w:val="1"/>
    <w:qFormat/>
    <w:uiPriority w:val="0"/>
    <w:rPr>
      <w:rFonts w:ascii="Tahoma" w:hAnsi="Tahoma"/>
      <w:sz w:val="24"/>
      <w:szCs w:val="20"/>
    </w:rPr>
  </w:style>
  <w:style w:type="paragraph" w:customStyle="1" w:styleId="137">
    <w:name w:val="小标题 1"/>
    <w:basedOn w:val="1"/>
    <w:autoRedefine/>
    <w:qFormat/>
    <w:uiPriority w:val="0"/>
    <w:pPr>
      <w:autoSpaceDE w:val="0"/>
      <w:autoSpaceDN w:val="0"/>
      <w:spacing w:line="360" w:lineRule="atLeast"/>
    </w:pPr>
    <w:rPr>
      <w:rFonts w:ascii="文鼎粗黑" w:eastAsia="文鼎粗黑"/>
      <w:sz w:val="22"/>
      <w:szCs w:val="20"/>
    </w:rPr>
  </w:style>
  <w:style w:type="paragraph" w:customStyle="1" w:styleId="138">
    <w:name w:val="Char Char"/>
    <w:basedOn w:val="1"/>
    <w:autoRedefine/>
    <w:qFormat/>
    <w:uiPriority w:val="0"/>
    <w:rPr>
      <w:rFonts w:ascii="Tahoma" w:hAnsi="Tahoma"/>
      <w:sz w:val="24"/>
      <w:szCs w:val="20"/>
    </w:rPr>
  </w:style>
  <w:style w:type="paragraph" w:customStyle="1" w:styleId="139">
    <w:name w:val="È±Ê¡ÎÄ±¾"/>
    <w:basedOn w:val="1"/>
    <w:qFormat/>
    <w:uiPriority w:val="0"/>
    <w:pPr>
      <w:overflowPunct w:val="0"/>
      <w:autoSpaceDE w:val="0"/>
      <w:autoSpaceDN w:val="0"/>
      <w:jc w:val="left"/>
      <w:textAlignment w:val="baseline"/>
    </w:pPr>
    <w:rPr>
      <w:sz w:val="24"/>
      <w:szCs w:val="20"/>
    </w:rPr>
  </w:style>
  <w:style w:type="character" w:customStyle="1" w:styleId="140">
    <w:name w:val="apple-converted-space"/>
    <w:qFormat/>
    <w:uiPriority w:val="0"/>
  </w:style>
  <w:style w:type="paragraph" w:customStyle="1" w:styleId="141">
    <w:name w:val="TOC 标题1"/>
    <w:basedOn w:val="2"/>
    <w:next w:val="1"/>
    <w:autoRedefine/>
    <w:qFormat/>
    <w:uiPriority w:val="0"/>
    <w:pPr>
      <w:spacing w:before="480" w:after="0" w:line="276" w:lineRule="auto"/>
      <w:jc w:val="left"/>
      <w:outlineLvl w:val="9"/>
    </w:pPr>
    <w:rPr>
      <w:rFonts w:ascii="Cambria" w:hAnsi="Cambria" w:eastAsia="宋体"/>
      <w:color w:val="365F91"/>
      <w:kern w:val="0"/>
    </w:rPr>
  </w:style>
  <w:style w:type="paragraph" w:customStyle="1" w:styleId="142">
    <w:name w:val="Char Char Char"/>
    <w:basedOn w:val="1"/>
    <w:autoRedefine/>
    <w:qFormat/>
    <w:uiPriority w:val="0"/>
    <w:rPr>
      <w:rFonts w:ascii="Tahoma" w:hAnsi="Tahoma"/>
      <w:sz w:val="24"/>
      <w:szCs w:val="20"/>
    </w:rPr>
  </w:style>
  <w:style w:type="paragraph" w:customStyle="1" w:styleId="143">
    <w:name w:val="列出段落1"/>
    <w:basedOn w:val="1"/>
    <w:link w:val="144"/>
    <w:qFormat/>
    <w:uiPriority w:val="0"/>
    <w:pPr>
      <w:ind w:firstLine="200" w:firstLineChars="200"/>
    </w:pPr>
    <w:rPr>
      <w:rFonts w:ascii="Times New Roman" w:cs="Times New Roman"/>
      <w:kern w:val="2"/>
    </w:rPr>
  </w:style>
  <w:style w:type="character" w:customStyle="1" w:styleId="144">
    <w:name w:val="List Paragraph Char"/>
    <w:link w:val="143"/>
    <w:autoRedefine/>
    <w:qFormat/>
    <w:locked/>
    <w:uiPriority w:val="0"/>
    <w:rPr>
      <w:kern w:val="2"/>
      <w:sz w:val="21"/>
      <w:szCs w:val="24"/>
      <w:shd w:val="clear" w:color="auto" w:fill="FFFFFF"/>
    </w:rPr>
  </w:style>
  <w:style w:type="paragraph" w:customStyle="1" w:styleId="145">
    <w:name w:val="Default"/>
    <w:qFormat/>
    <w:uiPriority w:val="0"/>
    <w:pPr>
      <w:widowControl w:val="0"/>
      <w:autoSpaceDE w:val="0"/>
      <w:autoSpaceDN w:val="0"/>
      <w:adjustRightInd w:val="0"/>
      <w:spacing w:line="360" w:lineRule="auto"/>
      <w:jc w:val="both"/>
    </w:pPr>
    <w:rPr>
      <w:rFonts w:ascii="宋体" w:hAnsi="Times New Roman" w:eastAsia="宋体" w:cs="Times New Roman"/>
      <w:color w:val="000000"/>
      <w:sz w:val="24"/>
      <w:szCs w:val="24"/>
      <w:lang w:val="en-US" w:eastAsia="zh-CN" w:bidi="ar-SA"/>
    </w:rPr>
  </w:style>
  <w:style w:type="paragraph" w:customStyle="1" w:styleId="146">
    <w:name w:val="主题"/>
    <w:basedOn w:val="1"/>
    <w:autoRedefine/>
    <w:qFormat/>
    <w:uiPriority w:val="0"/>
  </w:style>
  <w:style w:type="paragraph" w:customStyle="1" w:styleId="147">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148">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149">
    <w:name w:val="表1黑体居中"/>
    <w:basedOn w:val="1"/>
    <w:autoRedefine/>
    <w:qFormat/>
    <w:uiPriority w:val="0"/>
    <w:pPr>
      <w:ind w:firstLine="435"/>
      <w:jc w:val="center"/>
      <w:textAlignment w:val="baseline"/>
    </w:pPr>
    <w:rPr>
      <w:rFonts w:ascii="黑体" w:eastAsia="黑体"/>
      <w:szCs w:val="21"/>
    </w:rPr>
  </w:style>
  <w:style w:type="paragraph" w:customStyle="1" w:styleId="150">
    <w:name w:val="MaoC2"/>
    <w:basedOn w:val="1"/>
    <w:autoRedefine/>
    <w:qFormat/>
    <w:uiPriority w:val="0"/>
    <w:pPr>
      <w:numPr>
        <w:ilvl w:val="1"/>
        <w:numId w:val="11"/>
      </w:numPr>
      <w:spacing w:line="480" w:lineRule="auto"/>
      <w:outlineLvl w:val="1"/>
    </w:pPr>
    <w:rPr>
      <w:rFonts w:ascii="黑体" w:eastAsia="黑体"/>
      <w:szCs w:val="20"/>
    </w:rPr>
  </w:style>
  <w:style w:type="paragraph" w:customStyle="1" w:styleId="151">
    <w:name w:val="图目录4"/>
    <w:basedOn w:val="1"/>
    <w:next w:val="1"/>
    <w:autoRedefine/>
    <w:qFormat/>
    <w:uiPriority w:val="0"/>
    <w:pPr>
      <w:numPr>
        <w:ilvl w:val="0"/>
        <w:numId w:val="12"/>
      </w:numPr>
      <w:ind w:left="0" w:hanging="448"/>
      <w:jc w:val="center"/>
      <w:textAlignment w:val="baseline"/>
    </w:pPr>
    <w:rPr>
      <w:szCs w:val="20"/>
    </w:rPr>
  </w:style>
  <w:style w:type="paragraph" w:customStyle="1" w:styleId="152">
    <w:name w:val="段"/>
    <w:autoRedefine/>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153">
    <w:name w:val="样式1"/>
    <w:basedOn w:val="1"/>
    <w:qFormat/>
    <w:uiPriority w:val="0"/>
    <w:pPr>
      <w:keepNext/>
      <w:keepLines/>
      <w:numPr>
        <w:ilvl w:val="0"/>
        <w:numId w:val="13"/>
      </w:numPr>
      <w:spacing w:before="340" w:after="330"/>
      <w:outlineLvl w:val="0"/>
    </w:pPr>
    <w:rPr>
      <w:b/>
      <w:kern w:val="44"/>
      <w:sz w:val="44"/>
      <w:szCs w:val="20"/>
    </w:rPr>
  </w:style>
  <w:style w:type="paragraph" w:customStyle="1" w:styleId="154">
    <w:name w:val="参数内容"/>
    <w:basedOn w:val="143"/>
    <w:autoRedefine/>
    <w:qFormat/>
    <w:uiPriority w:val="0"/>
    <w:pPr>
      <w:numPr>
        <w:ilvl w:val="0"/>
        <w:numId w:val="14"/>
      </w:numPr>
      <w:ind w:left="0" w:firstLine="0" w:firstLineChars="0"/>
    </w:pPr>
    <w:rPr>
      <w:szCs w:val="18"/>
    </w:rPr>
  </w:style>
  <w:style w:type="paragraph" w:customStyle="1" w:styleId="155">
    <w:name w:val="标准正文"/>
    <w:basedOn w:val="33"/>
    <w:autoRedefine/>
    <w:qFormat/>
    <w:uiPriority w:val="0"/>
    <w:pPr>
      <w:spacing w:before="60" w:after="60"/>
      <w:ind w:firstLine="482" w:firstLineChars="0"/>
      <w:jc w:val="left"/>
    </w:pPr>
    <w:rPr>
      <w:rFonts w:ascii="宋体"/>
      <w:kern w:val="0"/>
      <w:sz w:val="24"/>
      <w:szCs w:val="20"/>
    </w:rPr>
  </w:style>
  <w:style w:type="paragraph" w:customStyle="1" w:styleId="156">
    <w:name w:val="下级参数内容"/>
    <w:basedOn w:val="143"/>
    <w:autoRedefine/>
    <w:qFormat/>
    <w:uiPriority w:val="0"/>
    <w:pPr>
      <w:numPr>
        <w:ilvl w:val="0"/>
        <w:numId w:val="15"/>
      </w:numPr>
      <w:ind w:left="1134" w:firstLine="0" w:firstLineChars="0"/>
    </w:pPr>
    <w:rPr>
      <w:rFonts w:ascii="仿宋" w:hAnsi="仿宋"/>
    </w:rPr>
  </w:style>
  <w:style w:type="paragraph" w:customStyle="1" w:styleId="157">
    <w:name w:val="Char Char Char1"/>
    <w:basedOn w:val="1"/>
    <w:qFormat/>
    <w:uiPriority w:val="0"/>
    <w:rPr>
      <w:rFonts w:ascii="Tahoma" w:hAnsi="Tahoma"/>
      <w:sz w:val="24"/>
      <w:szCs w:val="20"/>
    </w:rPr>
  </w:style>
  <w:style w:type="paragraph" w:customStyle="1" w:styleId="158">
    <w:name w:val="Char Char10 Char Char"/>
    <w:basedOn w:val="24"/>
    <w:autoRedefine/>
    <w:qFormat/>
    <w:uiPriority w:val="0"/>
    <w:rPr>
      <w:rFonts w:ascii="Tahoma" w:hAnsi="Tahoma"/>
      <w:sz w:val="24"/>
    </w:rPr>
  </w:style>
  <w:style w:type="paragraph" w:customStyle="1" w:styleId="159">
    <w:name w:val="_Style 95"/>
    <w:autoRedefine/>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60">
    <w:name w:val="font5"/>
    <w:basedOn w:val="1"/>
    <w:autoRedefine/>
    <w:qFormat/>
    <w:uiPriority w:val="0"/>
    <w:pPr>
      <w:spacing w:before="100" w:beforeAutospacing="1" w:after="100" w:afterAutospacing="1"/>
      <w:jc w:val="left"/>
    </w:pPr>
    <w:rPr>
      <w:sz w:val="18"/>
      <w:szCs w:val="18"/>
    </w:rPr>
  </w:style>
  <w:style w:type="paragraph" w:customStyle="1" w:styleId="161">
    <w:name w:val="xl65"/>
    <w:basedOn w:val="1"/>
    <w:autoRedefine/>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62">
    <w:name w:val="xl66"/>
    <w:basedOn w:val="1"/>
    <w:autoRedefine/>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63">
    <w:name w:val="xl67"/>
    <w:basedOn w:val="1"/>
    <w:autoRedefine/>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64">
    <w:name w:val="xl68"/>
    <w:basedOn w:val="1"/>
    <w:autoRedefine/>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65">
    <w:name w:val="xl69"/>
    <w:basedOn w:val="1"/>
    <w:autoRedefine/>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66">
    <w:name w:val="样式 标题 3style3H3h33rd levelLevel 3 Headlevel_3PIM 33l3C..."/>
    <w:basedOn w:val="3"/>
    <w:autoRedefine/>
    <w:qFormat/>
    <w:uiPriority w:val="0"/>
    <w:pPr>
      <w:tabs>
        <w:tab w:val="left" w:pos="426"/>
        <w:tab w:val="left" w:pos="851"/>
      </w:tabs>
      <w:spacing w:beforeLines="50" w:afterLines="50" w:line="415" w:lineRule="auto"/>
      <w:ind w:left="-2" w:leftChars="-2" w:right="220" w:firstLine="203" w:firstLineChars="203"/>
      <w:jc w:val="left"/>
    </w:pPr>
    <w:rPr>
      <w:rFonts w:ascii="Times New Roman"/>
      <w:bCs w:val="0"/>
      <w:color w:val="000000"/>
      <w:szCs w:val="20"/>
    </w:rPr>
  </w:style>
  <w:style w:type="paragraph" w:customStyle="1" w:styleId="167">
    <w:name w:val="样式2"/>
    <w:basedOn w:val="2"/>
    <w:autoRedefine/>
    <w:qFormat/>
    <w:uiPriority w:val="0"/>
    <w:pPr>
      <w:keepNext/>
      <w:keepLines/>
      <w:spacing w:before="0" w:after="0" w:line="578" w:lineRule="auto"/>
      <w:ind w:left="1200" w:hanging="420"/>
      <w:jc w:val="both"/>
    </w:pPr>
    <w:rPr>
      <w:rFonts w:eastAsia="宋体"/>
      <w:szCs w:val="44"/>
    </w:rPr>
  </w:style>
  <w:style w:type="paragraph" w:customStyle="1" w:styleId="168">
    <w:name w:val="样式3"/>
    <w:basedOn w:val="1"/>
    <w:autoRedefine/>
    <w:qFormat/>
    <w:uiPriority w:val="0"/>
    <w:pPr>
      <w:ind w:left="1620" w:hanging="420"/>
      <w:outlineLvl w:val="2"/>
    </w:pPr>
    <w:rPr>
      <w:b/>
    </w:rPr>
  </w:style>
  <w:style w:type="paragraph" w:customStyle="1" w:styleId="169">
    <w:name w:val="样式4"/>
    <w:basedOn w:val="143"/>
    <w:autoRedefine/>
    <w:qFormat/>
    <w:uiPriority w:val="0"/>
    <w:pPr>
      <w:ind w:left="2040" w:firstLine="0" w:firstLineChars="0"/>
      <w:jc w:val="left"/>
      <w:outlineLvl w:val="3"/>
    </w:pPr>
    <w:rPr>
      <w:rFonts w:ascii="宋体"/>
    </w:rPr>
  </w:style>
  <w:style w:type="paragraph" w:customStyle="1" w:styleId="170">
    <w:name w:val="p0"/>
    <w:basedOn w:val="1"/>
    <w:autoRedefine/>
    <w:qFormat/>
    <w:uiPriority w:val="0"/>
    <w:rPr>
      <w:rFonts w:ascii="Calibri" w:hAnsi="Calibri"/>
      <w:szCs w:val="21"/>
    </w:rPr>
  </w:style>
  <w:style w:type="paragraph" w:customStyle="1" w:styleId="171">
    <w:name w:val="图标题"/>
    <w:basedOn w:val="1"/>
    <w:autoRedefine/>
    <w:qFormat/>
    <w:uiPriority w:val="0"/>
    <w:pPr>
      <w:jc w:val="center"/>
    </w:pPr>
    <w:rPr>
      <w:rFonts w:cs="Times New Roman"/>
      <w:kern w:val="2"/>
    </w:rPr>
  </w:style>
  <w:style w:type="paragraph" w:customStyle="1" w:styleId="172">
    <w:name w:val="表标题"/>
    <w:basedOn w:val="1"/>
    <w:autoRedefine/>
    <w:qFormat/>
    <w:uiPriority w:val="0"/>
    <w:pPr>
      <w:jc w:val="center"/>
    </w:pPr>
    <w:rPr>
      <w:rFonts w:eastAsia="黑体"/>
      <w:b/>
    </w:rPr>
  </w:style>
  <w:style w:type="paragraph" w:customStyle="1" w:styleId="173">
    <w:name w:val="正文-1级标题-1"/>
    <w:basedOn w:val="1"/>
    <w:next w:val="1"/>
    <w:autoRedefine/>
    <w:qFormat/>
    <w:uiPriority w:val="0"/>
    <w:pPr>
      <w:keepNext/>
      <w:tabs>
        <w:tab w:val="left" w:pos="420"/>
        <w:tab w:val="clear" w:pos="426"/>
      </w:tabs>
      <w:spacing w:beforeLines="30" w:afterLines="30"/>
    </w:pPr>
    <w:rPr>
      <w:b/>
      <w:sz w:val="24"/>
      <w:szCs w:val="28"/>
      <w:lang w:val="en-GB" w:eastAsia="en-GB"/>
    </w:rPr>
  </w:style>
  <w:style w:type="paragraph" w:customStyle="1" w:styleId="174">
    <w:name w:val="正文-1级列表-(1)"/>
    <w:basedOn w:val="1"/>
    <w:autoRedefine/>
    <w:qFormat/>
    <w:uiPriority w:val="0"/>
    <w:pPr>
      <w:tabs>
        <w:tab w:val="left" w:pos="420"/>
        <w:tab w:val="clear" w:pos="426"/>
      </w:tabs>
      <w:ind w:left="800"/>
    </w:pPr>
    <w:rPr>
      <w:sz w:val="24"/>
      <w:lang w:val="en-GB" w:eastAsia="en-GB"/>
    </w:rPr>
  </w:style>
  <w:style w:type="paragraph" w:customStyle="1" w:styleId="175">
    <w:name w:val="样式 标题 1 + 段前: 0.5 行 段后: 0.5 行"/>
    <w:basedOn w:val="2"/>
    <w:autoRedefine/>
    <w:qFormat/>
    <w:uiPriority w:val="0"/>
    <w:pPr>
      <w:keepNext/>
      <w:keepLines/>
      <w:numPr>
        <w:ilvl w:val="0"/>
        <w:numId w:val="16"/>
      </w:numPr>
      <w:spacing w:beforeLines="50" w:afterLines="50" w:line="578" w:lineRule="auto"/>
      <w:ind w:left="0" w:firstLine="0"/>
      <w:jc w:val="both"/>
    </w:pPr>
    <w:rPr>
      <w:rFonts w:ascii="Times New Roman" w:eastAsia="宋体"/>
      <w:sz w:val="44"/>
      <w:szCs w:val="20"/>
    </w:rPr>
  </w:style>
  <w:style w:type="paragraph" w:customStyle="1" w:styleId="176">
    <w:name w:val="样式 标题 4 + 段前: 0.5 行 段后: 0.5 行"/>
    <w:basedOn w:val="5"/>
    <w:autoRedefine/>
    <w:qFormat/>
    <w:uiPriority w:val="0"/>
    <w:pPr>
      <w:spacing w:beforeLines="50" w:afterLines="50"/>
      <w:ind w:left="2240"/>
      <w:jc w:val="left"/>
    </w:pPr>
    <w:rPr>
      <w:rFonts w:ascii="Cambria" w:hAnsi="Cambria" w:eastAsia="宋体" w:cs="宋体"/>
      <w:sz w:val="24"/>
      <w:szCs w:val="20"/>
    </w:rPr>
  </w:style>
  <w:style w:type="paragraph" w:customStyle="1" w:styleId="177">
    <w:name w:val="样式 标题 4 + 段前: 0.5 行 段后: 0.5 行1"/>
    <w:basedOn w:val="5"/>
    <w:autoRedefine/>
    <w:qFormat/>
    <w:uiPriority w:val="0"/>
    <w:pPr>
      <w:spacing w:beforeLines="50" w:afterLines="50"/>
      <w:ind w:left="-1" w:leftChars="-1" w:firstLine="233" w:firstLineChars="233"/>
      <w:jc w:val="left"/>
    </w:pPr>
    <w:rPr>
      <w:rFonts w:ascii="Cambria" w:hAnsi="Cambria" w:eastAsia="宋体" w:cs="宋体"/>
      <w:sz w:val="24"/>
      <w:szCs w:val="20"/>
    </w:rPr>
  </w:style>
  <w:style w:type="paragraph" w:customStyle="1" w:styleId="178">
    <w:name w:val="￥正文"/>
    <w:basedOn w:val="1"/>
    <w:autoRedefine/>
    <w:qFormat/>
    <w:uiPriority w:val="0"/>
    <w:pPr>
      <w:ind w:firstLine="200" w:firstLineChars="200"/>
    </w:pPr>
    <w:rPr>
      <w:rFonts w:ascii="Calibri" w:hAnsi="Calibri" w:cs="Times New Roman"/>
      <w:kern w:val="2"/>
      <w:sz w:val="24"/>
      <w:szCs w:val="20"/>
    </w:rPr>
  </w:style>
  <w:style w:type="paragraph" w:customStyle="1" w:styleId="179">
    <w:name w:val="样式 标题 4h4heading 4h41heading 41h42heading 42h411heading ..."/>
    <w:basedOn w:val="5"/>
    <w:autoRedefine/>
    <w:qFormat/>
    <w:uiPriority w:val="0"/>
    <w:pPr>
      <w:spacing w:beforeLines="50" w:afterLines="50"/>
      <w:ind w:left="2240" w:right="220"/>
      <w:jc w:val="left"/>
    </w:pPr>
    <w:rPr>
      <w:rFonts w:ascii="Cambria" w:hAnsi="Cambria" w:eastAsia="宋体" w:cs="宋体"/>
      <w:sz w:val="24"/>
      <w:szCs w:val="20"/>
    </w:rPr>
  </w:style>
  <w:style w:type="paragraph" w:customStyle="1" w:styleId="180">
    <w:name w:val="!项目ALT+P"/>
    <w:basedOn w:val="1"/>
    <w:autoRedefine/>
    <w:qFormat/>
    <w:uiPriority w:val="0"/>
    <w:pPr>
      <w:numPr>
        <w:ilvl w:val="0"/>
        <w:numId w:val="17"/>
      </w:numPr>
      <w:tabs>
        <w:tab w:val="clear" w:pos="420"/>
      </w:tabs>
      <w:spacing w:line="320" w:lineRule="atLeast"/>
      <w:ind w:left="0" w:firstLine="0"/>
      <w:textAlignment w:val="baseline"/>
    </w:pPr>
    <w:rPr>
      <w:szCs w:val="21"/>
    </w:rPr>
  </w:style>
  <w:style w:type="paragraph" w:customStyle="1" w:styleId="181">
    <w:name w:val="样式 样式 (符号) 宋体 小四 行距: 1.5 倍行距 首行缩进:  1.5 字符 + 宋体 首行缩进:  2 字符"/>
    <w:basedOn w:val="1"/>
    <w:autoRedefine/>
    <w:qFormat/>
    <w:uiPriority w:val="0"/>
    <w:pPr>
      <w:ind w:firstLine="200" w:firstLineChars="200"/>
    </w:pPr>
    <w:rPr>
      <w:sz w:val="24"/>
      <w:szCs w:val="20"/>
    </w:rPr>
  </w:style>
  <w:style w:type="paragraph" w:customStyle="1" w:styleId="182">
    <w:name w:val="正文内容"/>
    <w:basedOn w:val="1"/>
    <w:next w:val="24"/>
    <w:autoRedefine/>
    <w:qFormat/>
    <w:uiPriority w:val="0"/>
    <w:rPr>
      <w:rFonts w:ascii="Times New Roman" w:cs="Times New Roman"/>
      <w:sz w:val="20"/>
    </w:rPr>
  </w:style>
  <w:style w:type="paragraph" w:customStyle="1" w:styleId="183">
    <w:name w:val="方案标题1"/>
    <w:basedOn w:val="81"/>
    <w:autoRedefine/>
    <w:qFormat/>
    <w:uiPriority w:val="0"/>
    <w:pPr>
      <w:numPr>
        <w:ilvl w:val="0"/>
        <w:numId w:val="18"/>
      </w:numPr>
      <w:spacing w:beforeLines="50" w:afterLines="50"/>
      <w:ind w:firstLine="200" w:firstLineChars="200"/>
      <w:jc w:val="both"/>
    </w:pPr>
    <w:rPr>
      <w:color w:val="000000"/>
    </w:rPr>
  </w:style>
  <w:style w:type="paragraph" w:customStyle="1" w:styleId="184">
    <w:name w:val="方案标题2"/>
    <w:basedOn w:val="81"/>
    <w:autoRedefine/>
    <w:qFormat/>
    <w:uiPriority w:val="0"/>
    <w:pPr>
      <w:numPr>
        <w:ilvl w:val="1"/>
        <w:numId w:val="18"/>
      </w:numPr>
      <w:spacing w:beforeLines="50" w:afterLines="50"/>
      <w:ind w:firstLine="200" w:firstLineChars="200"/>
      <w:jc w:val="left"/>
      <w:outlineLvl w:val="1"/>
    </w:pPr>
    <w:rPr>
      <w:rFonts w:eastAsia="仿宋_GB2312"/>
      <w:color w:val="000000"/>
      <w:sz w:val="30"/>
      <w:szCs w:val="30"/>
    </w:rPr>
  </w:style>
  <w:style w:type="paragraph" w:customStyle="1" w:styleId="185">
    <w:name w:val="方案标题3"/>
    <w:basedOn w:val="81"/>
    <w:autoRedefine/>
    <w:qFormat/>
    <w:uiPriority w:val="0"/>
    <w:pPr>
      <w:numPr>
        <w:ilvl w:val="2"/>
        <w:numId w:val="18"/>
      </w:numPr>
      <w:spacing w:beforeLines="50" w:afterLines="50" w:line="440" w:lineRule="exact"/>
      <w:ind w:firstLine="200" w:firstLineChars="200"/>
      <w:jc w:val="left"/>
      <w:outlineLvl w:val="2"/>
    </w:pPr>
    <w:rPr>
      <w:rFonts w:ascii="黑体" w:eastAsia="黑体"/>
      <w:color w:val="000000"/>
      <w:sz w:val="28"/>
      <w:szCs w:val="24"/>
    </w:rPr>
  </w:style>
  <w:style w:type="paragraph" w:customStyle="1" w:styleId="186">
    <w:name w:val="正文Land"/>
    <w:basedOn w:val="1"/>
    <w:autoRedefine/>
    <w:qFormat/>
    <w:uiPriority w:val="0"/>
    <w:pPr>
      <w:spacing w:beforeLines="20" w:afterLines="50"/>
      <w:ind w:firstLine="200" w:firstLineChars="200"/>
    </w:pPr>
    <w:rPr>
      <w:color w:val="000000"/>
      <w:sz w:val="24"/>
    </w:rPr>
  </w:style>
  <w:style w:type="paragraph" w:customStyle="1" w:styleId="187">
    <w:name w:val="样式5"/>
    <w:basedOn w:val="1"/>
    <w:autoRedefine/>
    <w:qFormat/>
    <w:uiPriority w:val="0"/>
    <w:pPr>
      <w:numPr>
        <w:ilvl w:val="0"/>
        <w:numId w:val="19"/>
      </w:numPr>
      <w:spacing w:beforeLines="50" w:afterLines="50"/>
      <w:ind w:left="0" w:firstLine="0"/>
    </w:pPr>
    <w:rPr>
      <w:rFonts w:eastAsia="仿宋_GB2312"/>
      <w:color w:val="000000"/>
      <w:sz w:val="24"/>
    </w:rPr>
  </w:style>
  <w:style w:type="paragraph" w:customStyle="1" w:styleId="188">
    <w:name w:val="font6"/>
    <w:basedOn w:val="1"/>
    <w:autoRedefine/>
    <w:qFormat/>
    <w:uiPriority w:val="0"/>
    <w:pPr>
      <w:spacing w:beforeAutospacing="1" w:afterAutospacing="1"/>
      <w:jc w:val="left"/>
    </w:pPr>
    <w:rPr>
      <w:sz w:val="18"/>
      <w:szCs w:val="18"/>
    </w:rPr>
  </w:style>
  <w:style w:type="paragraph" w:customStyle="1" w:styleId="189">
    <w:name w:val="xl64"/>
    <w:basedOn w:val="1"/>
    <w:autoRedefine/>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90">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91">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92">
    <w:name w:val="xl72"/>
    <w:basedOn w:val="1"/>
    <w:autoRedefine/>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93">
    <w:name w:val="xl73"/>
    <w:basedOn w:val="1"/>
    <w:autoRedefine/>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94">
    <w:name w:val="xl74"/>
    <w:basedOn w:val="1"/>
    <w:autoRedefine/>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95">
    <w:name w:val="xl75"/>
    <w:basedOn w:val="1"/>
    <w:autoRedefine/>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96">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97">
    <w:name w:val="xl77"/>
    <w:basedOn w:val="1"/>
    <w:autoRedefine/>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98">
    <w:name w:val="xl78"/>
    <w:basedOn w:val="1"/>
    <w:autoRedefine/>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99">
    <w:name w:val="xl79"/>
    <w:basedOn w:val="1"/>
    <w:autoRedefine/>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200">
    <w:name w:val="xl80"/>
    <w:basedOn w:val="1"/>
    <w:autoRedefine/>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201">
    <w:name w:val="xl81"/>
    <w:basedOn w:val="1"/>
    <w:autoRedefine/>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202">
    <w:name w:val="xl82"/>
    <w:basedOn w:val="1"/>
    <w:autoRedefine/>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203">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204">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205">
    <w:name w:val="xl85"/>
    <w:basedOn w:val="1"/>
    <w:autoRedefine/>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206">
    <w:name w:val="xl86"/>
    <w:basedOn w:val="1"/>
    <w:autoRedefine/>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207">
    <w:name w:val="xl87"/>
    <w:basedOn w:val="1"/>
    <w:autoRedefine/>
    <w:qFormat/>
    <w:uiPriority w:val="0"/>
    <w:pPr>
      <w:spacing w:beforeAutospacing="1" w:afterAutospacing="1"/>
      <w:jc w:val="left"/>
    </w:pPr>
    <w:rPr>
      <w:sz w:val="24"/>
    </w:rPr>
  </w:style>
  <w:style w:type="paragraph" w:customStyle="1" w:styleId="208">
    <w:name w:val="xl88"/>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209">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210">
    <w:name w:val="Bulleted Items--Level 2"/>
    <w:basedOn w:val="1"/>
    <w:autoRedefine/>
    <w:qFormat/>
    <w:uiPriority w:val="0"/>
    <w:pPr>
      <w:numPr>
        <w:ilvl w:val="0"/>
        <w:numId w:val="20"/>
      </w:numPr>
      <w:tabs>
        <w:tab w:val="left" w:pos="1771"/>
        <w:tab w:val="left" w:pos="2520"/>
        <w:tab w:val="clear" w:pos="360"/>
      </w:tabs>
      <w:spacing w:line="280" w:lineRule="exact"/>
      <w:ind w:left="2520" w:firstLine="0"/>
    </w:pPr>
    <w:rPr>
      <w:color w:val="000000"/>
      <w:sz w:val="22"/>
      <w:szCs w:val="20"/>
      <w:lang w:eastAsia="en-US"/>
    </w:rPr>
  </w:style>
  <w:style w:type="paragraph" w:customStyle="1" w:styleId="211">
    <w:name w:val="xl90"/>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212">
    <w:name w:val="xl91"/>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213">
    <w:name w:val="xl92"/>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214">
    <w:name w:val="xl93"/>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15">
    <w:name w:val="xl94"/>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16">
    <w:name w:val="xl95"/>
    <w:basedOn w:val="1"/>
    <w:autoRedefine/>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217">
    <w:name w:val="xl96"/>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218">
    <w:name w:val="xl97"/>
    <w:basedOn w:val="1"/>
    <w:autoRedefine/>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219">
    <w:name w:val="xl98"/>
    <w:basedOn w:val="1"/>
    <w:autoRedefine/>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220">
    <w:name w:val="xl99"/>
    <w:basedOn w:val="1"/>
    <w:autoRedefine/>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221">
    <w:name w:val="xl100"/>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222">
    <w:name w:val="xl101"/>
    <w:basedOn w:val="1"/>
    <w:autoRedefine/>
    <w:qFormat/>
    <w:uiPriority w:val="0"/>
    <w:pPr>
      <w:spacing w:beforeAutospacing="1" w:afterAutospacing="1"/>
      <w:jc w:val="left"/>
      <w:textAlignment w:val="center"/>
    </w:pPr>
    <w:rPr>
      <w:color w:val="FF0000"/>
      <w:sz w:val="20"/>
      <w:szCs w:val="20"/>
    </w:rPr>
  </w:style>
  <w:style w:type="paragraph" w:customStyle="1" w:styleId="223">
    <w:name w:val="xl10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224">
    <w:name w:val="xl103"/>
    <w:basedOn w:val="1"/>
    <w:autoRedefine/>
    <w:qFormat/>
    <w:uiPriority w:val="0"/>
    <w:pPr>
      <w:spacing w:beforeAutospacing="1" w:afterAutospacing="1"/>
      <w:jc w:val="left"/>
      <w:textAlignment w:val="center"/>
    </w:pPr>
    <w:rPr>
      <w:color w:val="FF0000"/>
      <w:sz w:val="22"/>
      <w:szCs w:val="22"/>
    </w:rPr>
  </w:style>
  <w:style w:type="paragraph" w:customStyle="1" w:styleId="225">
    <w:name w:val="xl104"/>
    <w:basedOn w:val="1"/>
    <w:autoRedefine/>
    <w:qFormat/>
    <w:uiPriority w:val="0"/>
    <w:pPr>
      <w:spacing w:beforeAutospacing="1" w:afterAutospacing="1"/>
      <w:jc w:val="center"/>
    </w:pPr>
    <w:rPr>
      <w:sz w:val="24"/>
    </w:rPr>
  </w:style>
  <w:style w:type="paragraph" w:customStyle="1" w:styleId="226">
    <w:name w:val="xl105"/>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227">
    <w:name w:val="xl106"/>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228">
    <w:name w:val="xl107"/>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229">
    <w:name w:val="xl108"/>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230">
    <w:name w:val="xl109"/>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231">
    <w:name w:val="xl110"/>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232">
    <w:name w:val="xl111"/>
    <w:basedOn w:val="1"/>
    <w:autoRedefine/>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233">
    <w:name w:val="xl112"/>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234">
    <w:name w:val="xl113"/>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235">
    <w:name w:val="xl114"/>
    <w:basedOn w:val="1"/>
    <w:autoRedefine/>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236">
    <w:name w:val="xl115"/>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237">
    <w:name w:val="xl116"/>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238">
    <w:name w:val="xl117"/>
    <w:basedOn w:val="1"/>
    <w:autoRedefine/>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239">
    <w:name w:val="xl118"/>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240">
    <w:name w:val="xl119"/>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41">
    <w:name w:val="xl120"/>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242">
    <w:name w:val="xl121"/>
    <w:basedOn w:val="1"/>
    <w:autoRedefine/>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243">
    <w:name w:val="xl122"/>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44">
    <w:name w:val="xl123"/>
    <w:basedOn w:val="1"/>
    <w:autoRedefine/>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45">
    <w:name w:val="xl124"/>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246">
    <w:name w:val="xl125"/>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47">
    <w:name w:val="xl126"/>
    <w:basedOn w:val="1"/>
    <w:autoRedefine/>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48">
    <w:name w:val="xl127"/>
    <w:basedOn w:val="1"/>
    <w:autoRedefine/>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49">
    <w:name w:val="xl128"/>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50">
    <w:name w:val="xl129"/>
    <w:basedOn w:val="1"/>
    <w:autoRedefine/>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51">
    <w:name w:val="xl130"/>
    <w:basedOn w:val="1"/>
    <w:autoRedefine/>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52">
    <w:name w:val="xl131"/>
    <w:basedOn w:val="1"/>
    <w:autoRedefine/>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eastAsia="黑体"/>
      <w:b/>
      <w:bCs/>
      <w:sz w:val="28"/>
      <w:szCs w:val="28"/>
    </w:rPr>
  </w:style>
  <w:style w:type="paragraph" w:customStyle="1" w:styleId="253">
    <w:name w:val="xl132"/>
    <w:basedOn w:val="1"/>
    <w:autoRedefine/>
    <w:qFormat/>
    <w:uiPriority w:val="0"/>
    <w:pPr>
      <w:pBdr>
        <w:top w:val="single" w:color="auto" w:sz="4" w:space="0"/>
        <w:bottom w:val="single" w:color="auto" w:sz="4" w:space="0"/>
      </w:pBdr>
      <w:spacing w:beforeAutospacing="1" w:afterAutospacing="1"/>
      <w:jc w:val="center"/>
      <w:textAlignment w:val="center"/>
    </w:pPr>
    <w:rPr>
      <w:rFonts w:ascii="黑体" w:eastAsia="黑体"/>
      <w:b/>
      <w:bCs/>
      <w:sz w:val="28"/>
      <w:szCs w:val="28"/>
    </w:rPr>
  </w:style>
  <w:style w:type="paragraph" w:customStyle="1" w:styleId="254">
    <w:name w:val="xl133"/>
    <w:basedOn w:val="1"/>
    <w:autoRedefine/>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eastAsia="黑体"/>
      <w:b/>
      <w:bCs/>
      <w:sz w:val="28"/>
      <w:szCs w:val="28"/>
    </w:rPr>
  </w:style>
  <w:style w:type="paragraph" w:customStyle="1" w:styleId="255">
    <w:name w:val="样式 首行缩进:  0 字符"/>
    <w:basedOn w:val="1"/>
    <w:autoRedefine/>
    <w:qFormat/>
    <w:uiPriority w:val="0"/>
    <w:pPr>
      <w:ind w:firstLine="200" w:firstLineChars="200"/>
    </w:pPr>
    <w:rPr>
      <w:sz w:val="24"/>
      <w:szCs w:val="20"/>
    </w:rPr>
  </w:style>
  <w:style w:type="paragraph" w:customStyle="1" w:styleId="256">
    <w:name w:val="5"/>
    <w:basedOn w:val="1"/>
    <w:autoRedefine/>
    <w:qFormat/>
    <w:uiPriority w:val="0"/>
    <w:pPr>
      <w:ind w:firstLine="200" w:firstLineChars="200"/>
      <w:jc w:val="left"/>
    </w:pPr>
    <w:rPr>
      <w:sz w:val="24"/>
    </w:rPr>
  </w:style>
  <w:style w:type="paragraph" w:customStyle="1" w:styleId="257">
    <w:name w:val="正文1"/>
    <w:link w:val="258"/>
    <w:autoRedefine/>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character" w:customStyle="1" w:styleId="258">
    <w:name w:val="正文1 Char Char"/>
    <w:link w:val="257"/>
    <w:autoRedefine/>
    <w:qFormat/>
    <w:uiPriority w:val="0"/>
    <w:rPr>
      <w:rFonts w:ascii="宋体"/>
      <w:sz w:val="28"/>
      <w:lang w:bidi="ar-SA"/>
    </w:rPr>
  </w:style>
  <w:style w:type="paragraph" w:customStyle="1" w:styleId="259">
    <w:name w:val="附件标题"/>
    <w:basedOn w:val="1"/>
    <w:autoRedefine/>
    <w:qFormat/>
    <w:uiPriority w:val="0"/>
    <w:pPr>
      <w:ind w:firstLine="200" w:firstLineChars="200"/>
      <w:jc w:val="center"/>
    </w:pPr>
    <w:rPr>
      <w:rFonts w:ascii="Arial" w:hAnsi="Arial" w:eastAsia="黑体"/>
      <w:sz w:val="24"/>
    </w:rPr>
  </w:style>
  <w:style w:type="paragraph" w:customStyle="1" w:styleId="260">
    <w:name w:val="附件(1)"/>
    <w:basedOn w:val="1"/>
    <w:qFormat/>
    <w:uiPriority w:val="0"/>
    <w:pPr>
      <w:numPr>
        <w:ilvl w:val="0"/>
        <w:numId w:val="21"/>
      </w:numPr>
      <w:ind w:left="0" w:firstLine="200" w:firstLineChars="200"/>
    </w:pPr>
    <w:rPr>
      <w:sz w:val="24"/>
    </w:rPr>
  </w:style>
  <w:style w:type="paragraph" w:customStyle="1" w:styleId="261">
    <w:name w:val="附件1."/>
    <w:basedOn w:val="2"/>
    <w:qFormat/>
    <w:uiPriority w:val="0"/>
    <w:pPr>
      <w:tabs>
        <w:tab w:val="left" w:pos="360"/>
        <w:tab w:val="left" w:pos="420"/>
        <w:tab w:val="clear" w:pos="426"/>
      </w:tabs>
      <w:spacing w:before="0" w:after="0" w:line="360" w:lineRule="auto"/>
      <w:ind w:left="567" w:hanging="567"/>
      <w:jc w:val="both"/>
    </w:pPr>
    <w:rPr>
      <w:rFonts w:ascii="Times New Roman" w:eastAsia="宋体"/>
      <w:b/>
      <w:sz w:val="24"/>
      <w:szCs w:val="44"/>
    </w:rPr>
  </w:style>
  <w:style w:type="paragraph" w:customStyle="1" w:styleId="262">
    <w:name w:val="附件圈"/>
    <w:basedOn w:val="260"/>
    <w:qFormat/>
    <w:uiPriority w:val="0"/>
    <w:pPr>
      <w:numPr>
        <w:numId w:val="0"/>
      </w:numPr>
      <w:tabs>
        <w:tab w:val="left" w:pos="420"/>
        <w:tab w:val="clear" w:pos="426"/>
      </w:tabs>
      <w:ind w:firstLine="200" w:firstLineChars="200"/>
    </w:pPr>
  </w:style>
  <w:style w:type="paragraph" w:customStyle="1" w:styleId="263">
    <w:name w:val="样式 标题 2H2Heading 2 HiddenHeading 2 CCBSheading 22nd levelh..."/>
    <w:basedOn w:val="4"/>
    <w:autoRedefine/>
    <w:qFormat/>
    <w:uiPriority w:val="0"/>
    <w:pPr>
      <w:snapToGrid w:val="0"/>
      <w:spacing w:before="120" w:after="120"/>
      <w:ind w:left="576" w:hanging="576"/>
      <w:jc w:val="left"/>
      <w:textAlignment w:val="auto"/>
    </w:pPr>
    <w:rPr>
      <w:rFonts w:ascii="Arial" w:hAnsi="Arial" w:eastAsia="黑体"/>
      <w:bCs/>
      <w:kern w:val="2"/>
      <w:sz w:val="28"/>
      <w:szCs w:val="28"/>
    </w:rPr>
  </w:style>
  <w:style w:type="paragraph" w:customStyle="1" w:styleId="264">
    <w:name w:val="样式 标题 2H2Heading 2 HiddenHeading 2 CCBSheading 22nd levelh...1"/>
    <w:basedOn w:val="4"/>
    <w:autoRedefine/>
    <w:qFormat/>
    <w:uiPriority w:val="0"/>
    <w:pPr>
      <w:snapToGrid w:val="0"/>
      <w:spacing w:before="240" w:after="240"/>
      <w:ind w:left="576" w:hanging="576"/>
      <w:jc w:val="left"/>
      <w:textAlignment w:val="auto"/>
    </w:pPr>
    <w:rPr>
      <w:bCs/>
      <w:kern w:val="2"/>
      <w:sz w:val="28"/>
      <w:szCs w:val="28"/>
    </w:rPr>
  </w:style>
  <w:style w:type="paragraph" w:customStyle="1" w:styleId="265">
    <w:name w:val="CM51"/>
    <w:basedOn w:val="145"/>
    <w:next w:val="145"/>
    <w:autoRedefine/>
    <w:qFormat/>
    <w:uiPriority w:val="0"/>
    <w:pPr>
      <w:spacing w:after="103"/>
    </w:pPr>
    <w:rPr>
      <w:rFonts w:ascii="黑体" w:eastAsia="黑体"/>
      <w:color w:val="auto"/>
    </w:rPr>
  </w:style>
  <w:style w:type="paragraph" w:customStyle="1" w:styleId="266">
    <w:name w:val="pan"/>
    <w:basedOn w:val="143"/>
    <w:autoRedefine/>
    <w:qFormat/>
    <w:uiPriority w:val="0"/>
    <w:pPr>
      <w:numPr>
        <w:ilvl w:val="0"/>
        <w:numId w:val="22"/>
      </w:numPr>
      <w:tabs>
        <w:tab w:val="left" w:pos="840"/>
      </w:tabs>
      <w:ind w:left="840" w:hanging="420" w:firstLineChars="0"/>
      <w:outlineLvl w:val="0"/>
    </w:pPr>
    <w:rPr>
      <w:rFonts w:ascii="黑体" w:eastAsia="黑体"/>
      <w:sz w:val="32"/>
      <w:szCs w:val="32"/>
    </w:rPr>
  </w:style>
  <w:style w:type="paragraph" w:customStyle="1" w:styleId="267">
    <w:name w:val="pan2"/>
    <w:basedOn w:val="143"/>
    <w:autoRedefine/>
    <w:qFormat/>
    <w:uiPriority w:val="0"/>
    <w:pPr>
      <w:numPr>
        <w:ilvl w:val="1"/>
        <w:numId w:val="22"/>
      </w:numPr>
      <w:tabs>
        <w:tab w:val="left" w:pos="840"/>
      </w:tabs>
      <w:ind w:left="840" w:hanging="420" w:firstLineChars="0"/>
      <w:outlineLvl w:val="1"/>
    </w:pPr>
    <w:rPr>
      <w:rFonts w:ascii="黑体" w:eastAsia="黑体"/>
      <w:sz w:val="30"/>
      <w:szCs w:val="30"/>
    </w:rPr>
  </w:style>
  <w:style w:type="paragraph" w:customStyle="1" w:styleId="268">
    <w:name w:val="pan3"/>
    <w:basedOn w:val="143"/>
    <w:autoRedefine/>
    <w:qFormat/>
    <w:uiPriority w:val="0"/>
    <w:pPr>
      <w:numPr>
        <w:ilvl w:val="2"/>
        <w:numId w:val="22"/>
      </w:numPr>
      <w:tabs>
        <w:tab w:val="left" w:pos="1260"/>
      </w:tabs>
      <w:ind w:left="1260" w:hanging="420" w:firstLineChars="0"/>
      <w:outlineLvl w:val="2"/>
    </w:pPr>
    <w:rPr>
      <w:rFonts w:ascii="黑体" w:eastAsia="黑体"/>
      <w:sz w:val="28"/>
      <w:szCs w:val="28"/>
    </w:rPr>
  </w:style>
  <w:style w:type="paragraph" w:customStyle="1" w:styleId="269">
    <w:name w:val="pan4"/>
    <w:basedOn w:val="143"/>
    <w:autoRedefine/>
    <w:qFormat/>
    <w:uiPriority w:val="0"/>
    <w:pPr>
      <w:numPr>
        <w:ilvl w:val="3"/>
        <w:numId w:val="22"/>
      </w:numPr>
      <w:tabs>
        <w:tab w:val="left" w:pos="1680"/>
      </w:tabs>
      <w:ind w:left="1680" w:hanging="420" w:firstLineChars="0"/>
      <w:outlineLvl w:val="3"/>
    </w:pPr>
    <w:rPr>
      <w:rFonts w:ascii="黑体" w:eastAsia="黑体"/>
      <w:sz w:val="28"/>
      <w:szCs w:val="28"/>
    </w:rPr>
  </w:style>
  <w:style w:type="paragraph" w:customStyle="1" w:styleId="270">
    <w:name w:val="pan5"/>
    <w:basedOn w:val="143"/>
    <w:autoRedefine/>
    <w:qFormat/>
    <w:uiPriority w:val="0"/>
    <w:pPr>
      <w:numPr>
        <w:ilvl w:val="4"/>
        <w:numId w:val="22"/>
      </w:numPr>
      <w:tabs>
        <w:tab w:val="left" w:pos="1008"/>
      </w:tabs>
      <w:ind w:left="1008" w:hanging="1008" w:firstLineChars="0"/>
      <w:outlineLvl w:val="4"/>
    </w:pPr>
    <w:rPr>
      <w:rFonts w:ascii="黑体" w:eastAsia="黑体"/>
      <w:sz w:val="24"/>
    </w:rPr>
  </w:style>
  <w:style w:type="paragraph" w:customStyle="1" w:styleId="271">
    <w:name w:val="一级标题"/>
    <w:basedOn w:val="143"/>
    <w:autoRedefine/>
    <w:qFormat/>
    <w:uiPriority w:val="0"/>
    <w:pPr>
      <w:numPr>
        <w:ilvl w:val="0"/>
        <w:numId w:val="23"/>
      </w:numPr>
      <w:spacing w:line="720" w:lineRule="auto"/>
      <w:ind w:firstLineChars="0"/>
      <w:jc w:val="center"/>
      <w:outlineLvl w:val="0"/>
    </w:pPr>
    <w:rPr>
      <w:rFonts w:ascii="黑体" w:eastAsia="黑体"/>
      <w:sz w:val="44"/>
      <w:szCs w:val="44"/>
    </w:rPr>
  </w:style>
  <w:style w:type="paragraph" w:customStyle="1" w:styleId="272">
    <w:name w:val="二级标题"/>
    <w:basedOn w:val="143"/>
    <w:autoRedefine/>
    <w:qFormat/>
    <w:uiPriority w:val="0"/>
    <w:pPr>
      <w:numPr>
        <w:ilvl w:val="1"/>
        <w:numId w:val="23"/>
      </w:numPr>
      <w:spacing w:line="720" w:lineRule="auto"/>
      <w:ind w:firstLineChars="0"/>
      <w:outlineLvl w:val="1"/>
    </w:pPr>
    <w:rPr>
      <w:rFonts w:ascii="黑体" w:eastAsia="黑体"/>
      <w:sz w:val="36"/>
      <w:szCs w:val="36"/>
    </w:rPr>
  </w:style>
  <w:style w:type="paragraph" w:customStyle="1" w:styleId="273">
    <w:name w:val="三级标题"/>
    <w:basedOn w:val="143"/>
    <w:autoRedefine/>
    <w:qFormat/>
    <w:uiPriority w:val="0"/>
    <w:pPr>
      <w:numPr>
        <w:ilvl w:val="2"/>
        <w:numId w:val="23"/>
      </w:numPr>
      <w:spacing w:line="720" w:lineRule="auto"/>
      <w:ind w:firstLineChars="0"/>
      <w:outlineLvl w:val="2"/>
    </w:pPr>
    <w:rPr>
      <w:rFonts w:ascii="黑体" w:eastAsia="黑体"/>
      <w:sz w:val="32"/>
      <w:szCs w:val="32"/>
    </w:rPr>
  </w:style>
  <w:style w:type="paragraph" w:customStyle="1" w:styleId="274">
    <w:name w:val="四级标题"/>
    <w:basedOn w:val="143"/>
    <w:qFormat/>
    <w:uiPriority w:val="0"/>
    <w:pPr>
      <w:numPr>
        <w:ilvl w:val="3"/>
        <w:numId w:val="23"/>
      </w:numPr>
      <w:spacing w:line="720" w:lineRule="auto"/>
      <w:ind w:firstLineChars="0"/>
      <w:outlineLvl w:val="3"/>
    </w:pPr>
    <w:rPr>
      <w:rFonts w:ascii="黑体" w:eastAsia="黑体"/>
      <w:sz w:val="30"/>
      <w:szCs w:val="30"/>
    </w:rPr>
  </w:style>
  <w:style w:type="paragraph" w:customStyle="1" w:styleId="275">
    <w:name w:val="五级标题"/>
    <w:basedOn w:val="143"/>
    <w:autoRedefine/>
    <w:qFormat/>
    <w:uiPriority w:val="0"/>
    <w:pPr>
      <w:numPr>
        <w:ilvl w:val="4"/>
        <w:numId w:val="23"/>
      </w:numPr>
      <w:spacing w:line="720" w:lineRule="auto"/>
      <w:ind w:firstLineChars="0"/>
      <w:outlineLvl w:val="4"/>
    </w:pPr>
    <w:rPr>
      <w:rFonts w:ascii="黑体" w:eastAsia="黑体"/>
      <w:sz w:val="28"/>
      <w:szCs w:val="28"/>
    </w:rPr>
  </w:style>
  <w:style w:type="paragraph" w:customStyle="1" w:styleId="276">
    <w:name w:val="图片"/>
    <w:basedOn w:val="1"/>
    <w:autoRedefine/>
    <w:qFormat/>
    <w:uiPriority w:val="0"/>
    <w:pPr>
      <w:ind w:firstLine="200" w:firstLineChars="200"/>
      <w:jc w:val="center"/>
    </w:pPr>
    <w:rPr>
      <w:rFonts w:cs="Times New Roman"/>
      <w:kern w:val="2"/>
      <w:sz w:val="24"/>
    </w:rPr>
  </w:style>
  <w:style w:type="paragraph" w:customStyle="1" w:styleId="277">
    <w:name w:val="图片注释"/>
    <w:basedOn w:val="1"/>
    <w:autoRedefine/>
    <w:qFormat/>
    <w:uiPriority w:val="0"/>
    <w:pPr>
      <w:spacing w:afterLines="25"/>
      <w:ind w:firstLine="200" w:firstLineChars="200"/>
      <w:jc w:val="center"/>
    </w:pPr>
    <w:rPr>
      <w:rFonts w:cs="Times New Roman"/>
      <w:kern w:val="2"/>
      <w:sz w:val="24"/>
      <w:u w:val="single"/>
    </w:rPr>
  </w:style>
  <w:style w:type="paragraph" w:customStyle="1" w:styleId="278">
    <w:name w:val="段内层标"/>
    <w:basedOn w:val="182"/>
    <w:autoRedefine/>
    <w:qFormat/>
    <w:uiPriority w:val="0"/>
    <w:pPr>
      <w:numPr>
        <w:ilvl w:val="0"/>
        <w:numId w:val="24"/>
      </w:numPr>
      <w:spacing w:beforeLines="25" w:afterLines="25"/>
      <w:ind w:left="0" w:firstLine="200" w:firstLineChars="200"/>
    </w:pPr>
    <w:rPr>
      <w:rFonts w:ascii="宋体"/>
      <w:b/>
      <w:kern w:val="2"/>
      <w:sz w:val="28"/>
      <w:szCs w:val="28"/>
    </w:rPr>
  </w:style>
  <w:style w:type="paragraph" w:customStyle="1" w:styleId="279">
    <w:name w:val="方案设计1级标题"/>
    <w:basedOn w:val="143"/>
    <w:autoRedefine/>
    <w:qFormat/>
    <w:uiPriority w:val="0"/>
    <w:pPr>
      <w:tabs>
        <w:tab w:val="left" w:pos="840"/>
      </w:tabs>
      <w:ind w:left="840" w:firstLine="0" w:firstLineChars="0"/>
      <w:jc w:val="center"/>
      <w:outlineLvl w:val="0"/>
    </w:pPr>
    <w:rPr>
      <w:rFonts w:ascii="黑体" w:eastAsia="黑体"/>
      <w:sz w:val="44"/>
      <w:szCs w:val="44"/>
    </w:rPr>
  </w:style>
  <w:style w:type="paragraph" w:customStyle="1" w:styleId="280">
    <w:name w:val="方案设计2级标题"/>
    <w:basedOn w:val="143"/>
    <w:autoRedefine/>
    <w:qFormat/>
    <w:uiPriority w:val="0"/>
    <w:pPr>
      <w:numPr>
        <w:ilvl w:val="1"/>
        <w:numId w:val="25"/>
      </w:numPr>
      <w:ind w:firstLine="0" w:firstLineChars="0"/>
      <w:outlineLvl w:val="1"/>
    </w:pPr>
    <w:rPr>
      <w:rFonts w:ascii="黑体" w:eastAsia="黑体"/>
      <w:sz w:val="32"/>
      <w:szCs w:val="32"/>
    </w:rPr>
  </w:style>
  <w:style w:type="paragraph" w:customStyle="1" w:styleId="281">
    <w:name w:val="标题3"/>
    <w:basedOn w:val="143"/>
    <w:autoRedefine/>
    <w:qFormat/>
    <w:uiPriority w:val="0"/>
    <w:pPr>
      <w:numPr>
        <w:ilvl w:val="2"/>
        <w:numId w:val="25"/>
      </w:numPr>
      <w:ind w:firstLine="0" w:firstLineChars="0"/>
      <w:outlineLvl w:val="2"/>
    </w:pPr>
    <w:rPr>
      <w:rFonts w:ascii="黑体" w:eastAsia="黑体"/>
      <w:sz w:val="28"/>
      <w:szCs w:val="28"/>
    </w:rPr>
  </w:style>
  <w:style w:type="paragraph" w:customStyle="1" w:styleId="282">
    <w:name w:val="标题5"/>
    <w:basedOn w:val="143"/>
    <w:qFormat/>
    <w:uiPriority w:val="0"/>
    <w:pPr>
      <w:tabs>
        <w:tab w:val="left" w:pos="2038"/>
      </w:tabs>
      <w:ind w:left="2038" w:hanging="420" w:firstLineChars="0"/>
      <w:jc w:val="left"/>
      <w:outlineLvl w:val="4"/>
    </w:pPr>
    <w:rPr>
      <w:rFonts w:ascii="黑体" w:eastAsia="黑体"/>
      <w:sz w:val="28"/>
      <w:szCs w:val="28"/>
    </w:rPr>
  </w:style>
  <w:style w:type="paragraph" w:customStyle="1" w:styleId="283">
    <w:name w:val="正文标题"/>
    <w:basedOn w:val="1"/>
    <w:autoRedefine/>
    <w:qFormat/>
    <w:uiPriority w:val="0"/>
    <w:pPr>
      <w:numPr>
        <w:ilvl w:val="0"/>
        <w:numId w:val="25"/>
      </w:numPr>
      <w:ind w:left="0" w:firstLine="200" w:firstLineChars="200"/>
    </w:pPr>
    <w:rPr>
      <w:rFonts w:ascii="Calibri" w:hAnsi="Calibri" w:cs="Times New Roman"/>
      <w:b/>
      <w:kern w:val="2"/>
      <w:sz w:val="28"/>
      <w:szCs w:val="28"/>
    </w:rPr>
  </w:style>
  <w:style w:type="paragraph" w:customStyle="1" w:styleId="284">
    <w:name w:val="样式 Verdana 四号 首行缩进:  2 字符"/>
    <w:basedOn w:val="1"/>
    <w:autoRedefine/>
    <w:qFormat/>
    <w:uiPriority w:val="0"/>
    <w:pPr>
      <w:ind w:firstLine="200" w:firstLineChars="200"/>
      <w:jc w:val="left"/>
    </w:pPr>
    <w:rPr>
      <w:rFonts w:ascii="Verdana" w:hAnsi="Verdana"/>
      <w:sz w:val="24"/>
      <w:szCs w:val="20"/>
    </w:rPr>
  </w:style>
  <w:style w:type="paragraph" w:customStyle="1" w:styleId="285">
    <w:name w:val="层标"/>
    <w:basedOn w:val="182"/>
    <w:autoRedefine/>
    <w:qFormat/>
    <w:uiPriority w:val="0"/>
    <w:pPr>
      <w:numPr>
        <w:ilvl w:val="0"/>
        <w:numId w:val="26"/>
      </w:numPr>
      <w:spacing w:beforeLines="25" w:afterLines="25"/>
      <w:ind w:left="0" w:firstLine="0"/>
    </w:pPr>
    <w:rPr>
      <w:rFonts w:ascii="宋体"/>
      <w:b/>
      <w:kern w:val="2"/>
      <w:sz w:val="28"/>
      <w:szCs w:val="28"/>
    </w:rPr>
  </w:style>
  <w:style w:type="paragraph" w:styleId="286">
    <w:name w:val="Quote"/>
    <w:basedOn w:val="1"/>
    <w:next w:val="1"/>
    <w:autoRedefine/>
    <w:qFormat/>
    <w:uiPriority w:val="0"/>
    <w:pPr>
      <w:jc w:val="center"/>
    </w:pPr>
    <w:rPr>
      <w:rFonts w:ascii="Times New Roman" w:cs="Times New Roman"/>
      <w:iCs/>
      <w:color w:val="000000"/>
      <w:kern w:val="2"/>
      <w:sz w:val="24"/>
    </w:rPr>
  </w:style>
  <w:style w:type="character" w:customStyle="1" w:styleId="287">
    <w:name w:val="明显参考1"/>
    <w:autoRedefine/>
    <w:qFormat/>
    <w:uiPriority w:val="0"/>
    <w:rPr>
      <w:rFonts w:eastAsia="宋体"/>
      <w:bCs/>
      <w:smallCaps/>
      <w:color w:val="000000"/>
      <w:spacing w:val="5"/>
      <w:sz w:val="24"/>
      <w:u w:val="single"/>
    </w:rPr>
  </w:style>
  <w:style w:type="paragraph" w:customStyle="1" w:styleId="288">
    <w:name w:val="段落强调"/>
    <w:basedOn w:val="1"/>
    <w:autoRedefine/>
    <w:qFormat/>
    <w:uiPriority w:val="0"/>
    <w:pPr>
      <w:numPr>
        <w:ilvl w:val="0"/>
        <w:numId w:val="27"/>
      </w:numPr>
      <w:ind w:left="0" w:firstLine="420"/>
    </w:pPr>
    <w:rPr>
      <w:rFonts w:ascii="Times New Roman" w:cs="Times New Roman"/>
      <w:b/>
      <w:kern w:val="2"/>
      <w:sz w:val="24"/>
    </w:rPr>
  </w:style>
  <w:style w:type="character" w:customStyle="1" w:styleId="289">
    <w:name w:val="书籍标题1"/>
    <w:autoRedefine/>
    <w:qFormat/>
    <w:uiPriority w:val="0"/>
    <w:rPr>
      <w:b/>
      <w:bCs/>
      <w:smallCaps/>
      <w:spacing w:val="5"/>
    </w:rPr>
  </w:style>
  <w:style w:type="paragraph" w:customStyle="1" w:styleId="290">
    <w:name w:val="段内主题"/>
    <w:basedOn w:val="1"/>
    <w:autoRedefine/>
    <w:qFormat/>
    <w:uiPriority w:val="0"/>
    <w:pPr>
      <w:numPr>
        <w:ilvl w:val="1"/>
        <w:numId w:val="28"/>
      </w:numPr>
      <w:ind w:firstLine="0"/>
    </w:pPr>
    <w:rPr>
      <w:rFonts w:cs="Times New Roman"/>
      <w:b/>
      <w:kern w:val="2"/>
      <w:sz w:val="24"/>
    </w:rPr>
  </w:style>
  <w:style w:type="paragraph" w:customStyle="1" w:styleId="291">
    <w:name w:val="图片注释新"/>
    <w:basedOn w:val="277"/>
    <w:autoRedefine/>
    <w:qFormat/>
    <w:uiPriority w:val="0"/>
    <w:pPr>
      <w:spacing w:afterLines="0"/>
      <w:ind w:firstLine="0" w:firstLineChars="0"/>
    </w:pPr>
  </w:style>
  <w:style w:type="paragraph" w:customStyle="1" w:styleId="292">
    <w:name w:val="正文（缩进）"/>
    <w:basedOn w:val="1"/>
    <w:autoRedefine/>
    <w:qFormat/>
    <w:uiPriority w:val="0"/>
    <w:pPr>
      <w:spacing w:beforeLines="50" w:afterLines="50"/>
      <w:ind w:firstLine="200" w:firstLineChars="200"/>
    </w:pPr>
    <w:rPr>
      <w:rFonts w:ascii="Times New Roman" w:cs="Times New Roman"/>
      <w:sz w:val="24"/>
    </w:rPr>
  </w:style>
  <w:style w:type="character" w:customStyle="1" w:styleId="293">
    <w:name w:val="Char Char4"/>
    <w:autoRedefine/>
    <w:qFormat/>
    <w:uiPriority w:val="0"/>
    <w:rPr>
      <w:rFonts w:eastAsia="宋体"/>
      <w:b/>
      <w:kern w:val="2"/>
      <w:sz w:val="24"/>
      <w:lang w:val="en-US" w:eastAsia="zh-CN" w:bidi="ar-SA"/>
    </w:rPr>
  </w:style>
  <w:style w:type="paragraph" w:customStyle="1" w:styleId="294">
    <w:name w:val="Char5 Char Char Char Char Char Char"/>
    <w:basedOn w:val="1"/>
    <w:autoRedefine/>
    <w:qFormat/>
    <w:uiPriority w:val="0"/>
    <w:pPr>
      <w:spacing w:after="160" w:line="240" w:lineRule="exact"/>
      <w:jc w:val="left"/>
    </w:pPr>
    <w:rPr>
      <w:rFonts w:ascii="Verdana" w:hAnsi="Verdana" w:eastAsia="仿宋_GB2312"/>
      <w:sz w:val="24"/>
      <w:szCs w:val="20"/>
      <w:lang w:eastAsia="en-US"/>
    </w:rPr>
  </w:style>
  <w:style w:type="paragraph" w:customStyle="1" w:styleId="295">
    <w:name w:val="pa-2"/>
    <w:basedOn w:val="1"/>
    <w:autoRedefine/>
    <w:qFormat/>
    <w:uiPriority w:val="0"/>
    <w:pPr>
      <w:spacing w:before="100" w:beforeAutospacing="1" w:after="100" w:afterAutospacing="1"/>
      <w:jc w:val="left"/>
    </w:pPr>
    <w:rPr>
      <w:sz w:val="24"/>
    </w:rPr>
  </w:style>
  <w:style w:type="paragraph" w:customStyle="1" w:styleId="296">
    <w:name w:val="方案正文段落"/>
    <w:basedOn w:val="1"/>
    <w:autoRedefine/>
    <w:qFormat/>
    <w:uiPriority w:val="0"/>
    <w:pPr>
      <w:ind w:firstLine="200" w:firstLineChars="200"/>
    </w:pPr>
    <w:rPr>
      <w:rFonts w:ascii="Times New Roman" w:cs="Times New Roman"/>
      <w:kern w:val="2"/>
      <w:szCs w:val="20"/>
    </w:rPr>
  </w:style>
  <w:style w:type="paragraph" w:customStyle="1" w:styleId="297">
    <w:name w:val="修订1"/>
    <w:autoRedefine/>
    <w:qFormat/>
    <w:uiPriority w:val="0"/>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98">
    <w:name w:val="模板正文"/>
    <w:basedOn w:val="1"/>
    <w:autoRedefine/>
    <w:qFormat/>
    <w:uiPriority w:val="0"/>
    <w:pPr>
      <w:widowControl w:val="0"/>
      <w:shd w:val="clear" w:color="auto" w:fill="auto"/>
      <w:tabs>
        <w:tab w:val="clear" w:pos="426"/>
      </w:tabs>
      <w:wordWrap w:val="0"/>
      <w:adjustRightInd/>
      <w:snapToGrid/>
      <w:spacing w:beforeLines="50"/>
      <w:ind w:firstLine="200" w:firstLineChars="200"/>
    </w:pPr>
    <w:rPr>
      <w:rFonts w:ascii="Times New Roman" w:eastAsia="仿宋_GB2312" w:cs="Times New Roman"/>
      <w:sz w:val="28"/>
      <w:szCs w:val="21"/>
    </w:rPr>
  </w:style>
  <w:style w:type="paragraph" w:styleId="299">
    <w:name w:val="List Paragraph"/>
    <w:basedOn w:val="1"/>
    <w:link w:val="300"/>
    <w:autoRedefine/>
    <w:qFormat/>
    <w:uiPriority w:val="34"/>
    <w:pPr>
      <w:widowControl w:val="0"/>
      <w:shd w:val="clear" w:color="auto" w:fill="auto"/>
      <w:tabs>
        <w:tab w:val="clear" w:pos="426"/>
      </w:tabs>
      <w:adjustRightInd/>
      <w:snapToGrid/>
      <w:ind w:firstLine="200" w:firstLineChars="200"/>
    </w:pPr>
    <w:rPr>
      <w:rFonts w:ascii="Times New Roman" w:cs="Times New Roman"/>
      <w:kern w:val="2"/>
      <w:sz w:val="24"/>
    </w:rPr>
  </w:style>
  <w:style w:type="character" w:customStyle="1" w:styleId="300">
    <w:name w:val="列表段落 字符"/>
    <w:link w:val="299"/>
    <w:autoRedefine/>
    <w:qFormat/>
    <w:uiPriority w:val="0"/>
    <w:rPr>
      <w:kern w:val="2"/>
      <w:sz w:val="24"/>
      <w:szCs w:val="24"/>
    </w:rPr>
  </w:style>
  <w:style w:type="paragraph" w:customStyle="1" w:styleId="30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30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03">
    <w:name w:val="USE 1"/>
    <w:basedOn w:val="1"/>
    <w:autoRedefine/>
    <w:qFormat/>
    <w:uiPriority w:val="0"/>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304">
    <w:name w:val="标题 1 字符1"/>
    <w:autoRedefine/>
    <w:qFormat/>
    <w:uiPriority w:val="0"/>
    <w:rPr>
      <w:rFonts w:ascii="Times New Roman" w:hAnsi="Times New Roman" w:eastAsia="宋体" w:cs="Times New Roman"/>
      <w:b/>
      <w:kern w:val="44"/>
      <w:sz w:val="44"/>
      <w:szCs w:val="20"/>
      <w:lang w:bidi="ar-SA"/>
    </w:rPr>
  </w:style>
  <w:style w:type="paragraph" w:customStyle="1" w:styleId="305">
    <w:name w:val="翟 正文"/>
    <w:basedOn w:val="1"/>
    <w:qFormat/>
    <w:uiPriority w:val="0"/>
    <w:pPr>
      <w:widowControl w:val="0"/>
      <w:shd w:val="clear" w:color="auto" w:fill="auto"/>
      <w:tabs>
        <w:tab w:val="clear" w:pos="426"/>
      </w:tabs>
      <w:adjustRightInd/>
      <w:snapToGrid/>
      <w:spacing w:line="480" w:lineRule="exact"/>
      <w:ind w:firstLine="200" w:firstLineChars="200"/>
    </w:pPr>
    <w:rPr>
      <w:rFonts w:cs="Times New Roman"/>
      <w:snapToGrid w:val="0"/>
      <w:color w:val="000000"/>
      <w:sz w:val="28"/>
      <w:szCs w:val="28"/>
    </w:rPr>
  </w:style>
  <w:style w:type="paragraph" w:customStyle="1" w:styleId="306">
    <w:name w:val="倪芳"/>
    <w:basedOn w:val="1"/>
    <w:autoRedefine/>
    <w:qFormat/>
    <w:uiPriority w:val="0"/>
    <w:pPr>
      <w:widowControl w:val="0"/>
      <w:shd w:val="clear" w:color="auto" w:fill="auto"/>
      <w:tabs>
        <w:tab w:val="clear" w:pos="426"/>
      </w:tabs>
      <w:adjustRightInd/>
      <w:snapToGrid/>
      <w:spacing w:beforeLines="25" w:afterLines="15" w:line="400" w:lineRule="exact"/>
    </w:pPr>
    <w:rPr>
      <w:rFonts w:cs="Courier New"/>
      <w:kern w:val="2"/>
      <w:sz w:val="24"/>
      <w:szCs w:val="21"/>
    </w:rPr>
  </w:style>
  <w:style w:type="paragraph" w:customStyle="1" w:styleId="307">
    <w:name w:val="font0"/>
    <w:basedOn w:val="1"/>
    <w:autoRedefine/>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308">
    <w:name w:val="font7"/>
    <w:basedOn w:val="1"/>
    <w:autoRedefine/>
    <w:qFormat/>
    <w:uiPriority w:val="0"/>
    <w:pPr>
      <w:shd w:val="clear" w:color="auto" w:fill="auto"/>
      <w:tabs>
        <w:tab w:val="clear" w:pos="426"/>
      </w:tabs>
      <w:adjustRightInd/>
      <w:snapToGrid/>
      <w:spacing w:before="100" w:beforeAutospacing="1" w:after="100" w:afterAutospacing="1" w:line="240" w:lineRule="auto"/>
      <w:jc w:val="left"/>
    </w:pPr>
    <w:rPr>
      <w:rFonts w:ascii="Times New Roman" w:cs="Times New Roman"/>
      <w:sz w:val="20"/>
      <w:szCs w:val="20"/>
    </w:rPr>
  </w:style>
  <w:style w:type="paragraph" w:customStyle="1" w:styleId="309">
    <w:name w:val="font8"/>
    <w:basedOn w:val="1"/>
    <w:autoRedefine/>
    <w:qFormat/>
    <w:uiPriority w:val="0"/>
    <w:pPr>
      <w:shd w:val="clear" w:color="auto" w:fill="auto"/>
      <w:tabs>
        <w:tab w:val="clear" w:pos="426"/>
      </w:tabs>
      <w:adjustRightInd/>
      <w:snapToGrid/>
      <w:spacing w:before="100" w:beforeAutospacing="1" w:after="100" w:afterAutospacing="1" w:line="240" w:lineRule="auto"/>
      <w:jc w:val="left"/>
    </w:pPr>
    <w:rPr>
      <w:rFonts w:ascii="Times New Roman" w:cs="Times New Roman"/>
      <w:sz w:val="18"/>
      <w:szCs w:val="18"/>
    </w:rPr>
  </w:style>
  <w:style w:type="paragraph" w:customStyle="1" w:styleId="310">
    <w:name w:val="font9"/>
    <w:basedOn w:val="1"/>
    <w:autoRedefine/>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11">
    <w:name w:val="font10"/>
    <w:basedOn w:val="1"/>
    <w:autoRedefine/>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312">
    <w:name w:val="xl224"/>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3">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4">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5">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16">
    <w:name w:val="xl228"/>
    <w:basedOn w:val="1"/>
    <w:autoRedefine/>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7">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8">
    <w:name w:val="xl230"/>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19">
    <w:name w:val="xl231"/>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20">
    <w:name w:val="xl232"/>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21">
    <w:name w:val="xl233"/>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2">
    <w:name w:val="xl234"/>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3">
    <w:name w:val="xl235"/>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4">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5">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6">
    <w:name w:val="xl238"/>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7">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8">
    <w:name w:val="xl240"/>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241"/>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30">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xl243"/>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2">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3">
    <w:name w:val="xl245"/>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246"/>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5">
    <w:name w:val="xl247"/>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6">
    <w:name w:val="xl248"/>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7">
    <w:name w:val="xl249"/>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8">
    <w:name w:val="xl250"/>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9">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252"/>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341">
    <w:name w:val="xl253"/>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2">
    <w:name w:val="xl254"/>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343">
    <w:name w:val="xl255"/>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4">
    <w:name w:val="xl256"/>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5">
    <w:name w:val="xl257"/>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6">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7">
    <w:name w:val="xl259"/>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8">
    <w:name w:val="xl260"/>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9">
    <w:name w:val="xl261"/>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0">
    <w:name w:val="xl262"/>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1">
    <w:name w:val="xl263"/>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2">
    <w:name w:val="xl264"/>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3">
    <w:name w:val="xl265"/>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4">
    <w:name w:val="xl266"/>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xl267"/>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6">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character" w:customStyle="1" w:styleId="358">
    <w:name w:val="正文文本 Char"/>
    <w:autoRedefine/>
    <w:qFormat/>
    <w:uiPriority w:val="0"/>
    <w:rPr>
      <w:rFonts w:ascii="宋体"/>
      <w:kern w:val="10"/>
      <w:sz w:val="21"/>
    </w:rPr>
  </w:style>
  <w:style w:type="paragraph" w:customStyle="1" w:styleId="359">
    <w:name w:val="Char Char Char Char Char Char Char"/>
    <w:basedOn w:val="1"/>
    <w:autoRedefine/>
    <w:qFormat/>
    <w:uiPriority w:val="0"/>
    <w:pPr>
      <w:widowControl w:val="0"/>
      <w:shd w:val="clear" w:color="auto" w:fill="auto"/>
      <w:tabs>
        <w:tab w:val="clear" w:pos="426"/>
      </w:tabs>
      <w:adjustRightInd/>
      <w:snapToGrid/>
      <w:spacing w:line="240" w:lineRule="auto"/>
    </w:pPr>
    <w:rPr>
      <w:rFonts w:ascii="仿宋_GB2312" w:eastAsia="仿宋_GB2312" w:cs="Times New Roman"/>
      <w:b/>
      <w:kern w:val="2"/>
      <w:sz w:val="32"/>
      <w:szCs w:val="32"/>
    </w:rPr>
  </w:style>
  <w:style w:type="paragraph" w:customStyle="1" w:styleId="360">
    <w:name w:val="正文样式"/>
    <w:basedOn w:val="33"/>
    <w:autoRedefine/>
    <w:qFormat/>
    <w:uiPriority w:val="0"/>
    <w:pPr>
      <w:widowControl w:val="0"/>
      <w:shd w:val="clear" w:color="auto" w:fill="auto"/>
      <w:tabs>
        <w:tab w:val="clear" w:pos="426"/>
      </w:tabs>
      <w:adjustRightInd/>
      <w:snapToGrid/>
      <w:jc w:val="left"/>
    </w:pPr>
    <w:rPr>
      <w:rFonts w:ascii="宋体" w:cs="宋体"/>
      <w:szCs w:val="20"/>
    </w:rPr>
  </w:style>
  <w:style w:type="paragraph" w:customStyle="1" w:styleId="361">
    <w:name w:val="样式 USE 1 + 行距: 单倍行距"/>
    <w:basedOn w:val="1"/>
    <w:autoRedefine/>
    <w:qFormat/>
    <w:uiPriority w:val="0"/>
    <w:pPr>
      <w:widowControl w:val="0"/>
      <w:numPr>
        <w:ilvl w:val="0"/>
        <w:numId w:val="29"/>
      </w:numPr>
      <w:shd w:val="clear" w:color="auto" w:fill="auto"/>
      <w:tabs>
        <w:tab w:val="clear" w:pos="426"/>
      </w:tabs>
      <w:adjustRightInd/>
      <w:snapToGrid/>
      <w:spacing w:line="180" w:lineRule="atLeast"/>
      <w:jc w:val="left"/>
    </w:pPr>
    <w:rPr>
      <w:b/>
      <w:bCs/>
      <w:kern w:val="2"/>
      <w:sz w:val="24"/>
      <w:szCs w:val="20"/>
    </w:rPr>
  </w:style>
  <w:style w:type="paragraph" w:customStyle="1" w:styleId="362">
    <w:name w:val="USE 2"/>
    <w:basedOn w:val="1"/>
    <w:autoRedefine/>
    <w:qFormat/>
    <w:uiPriority w:val="0"/>
    <w:pPr>
      <w:widowControl w:val="0"/>
      <w:numPr>
        <w:ilvl w:val="1"/>
        <w:numId w:val="29"/>
      </w:numPr>
      <w:shd w:val="clear" w:color="auto" w:fill="auto"/>
      <w:tabs>
        <w:tab w:val="clear" w:pos="426"/>
      </w:tabs>
      <w:adjustRightInd/>
      <w:snapToGrid/>
      <w:jc w:val="left"/>
    </w:pPr>
    <w:rPr>
      <w:rFonts w:cs="Times New Roman"/>
      <w:kern w:val="2"/>
      <w:sz w:val="24"/>
      <w:szCs w:val="20"/>
    </w:rPr>
  </w:style>
  <w:style w:type="paragraph" w:customStyle="1" w:styleId="363">
    <w:name w:val="USE 3"/>
    <w:basedOn w:val="1"/>
    <w:autoRedefine/>
    <w:qFormat/>
    <w:uiPriority w:val="0"/>
    <w:pPr>
      <w:widowControl w:val="0"/>
      <w:numPr>
        <w:ilvl w:val="2"/>
        <w:numId w:val="29"/>
      </w:numPr>
      <w:shd w:val="clear" w:color="auto" w:fill="auto"/>
      <w:tabs>
        <w:tab w:val="clear" w:pos="426"/>
      </w:tabs>
      <w:adjustRightInd/>
      <w:snapToGrid/>
      <w:jc w:val="left"/>
    </w:pPr>
    <w:rPr>
      <w:rFonts w:cs="Times New Roman"/>
      <w:kern w:val="2"/>
      <w:sz w:val="24"/>
      <w:szCs w:val="20"/>
    </w:rPr>
  </w:style>
  <w:style w:type="paragraph" w:customStyle="1" w:styleId="364">
    <w:name w:val="USE 4"/>
    <w:basedOn w:val="1"/>
    <w:autoRedefine/>
    <w:qFormat/>
    <w:uiPriority w:val="0"/>
    <w:pPr>
      <w:widowControl w:val="0"/>
      <w:numPr>
        <w:ilvl w:val="3"/>
        <w:numId w:val="29"/>
      </w:numPr>
      <w:shd w:val="clear" w:color="auto" w:fill="auto"/>
      <w:tabs>
        <w:tab w:val="clear" w:pos="426"/>
      </w:tabs>
      <w:adjustRightInd/>
      <w:snapToGrid/>
      <w:jc w:val="left"/>
    </w:pPr>
    <w:rPr>
      <w:rFonts w:cs="Times New Roman"/>
      <w:kern w:val="2"/>
      <w:sz w:val="24"/>
      <w:szCs w:val="20"/>
    </w:rPr>
  </w:style>
  <w:style w:type="paragraph" w:customStyle="1" w:styleId="365">
    <w:name w:val="USE 5"/>
    <w:basedOn w:val="1"/>
    <w:autoRedefine/>
    <w:qFormat/>
    <w:uiPriority w:val="0"/>
    <w:pPr>
      <w:widowControl w:val="0"/>
      <w:numPr>
        <w:ilvl w:val="4"/>
        <w:numId w:val="29"/>
      </w:numPr>
      <w:shd w:val="clear" w:color="auto" w:fill="auto"/>
      <w:tabs>
        <w:tab w:val="clear" w:pos="426"/>
      </w:tabs>
      <w:adjustRightInd/>
      <w:snapToGrid/>
      <w:jc w:val="left"/>
    </w:pPr>
    <w:rPr>
      <w:rFonts w:cs="Times New Roman"/>
      <w:kern w:val="2"/>
      <w:sz w:val="24"/>
    </w:rPr>
  </w:style>
  <w:style w:type="paragraph" w:customStyle="1" w:styleId="366">
    <w:name w:val="样式 (西文) 宋体 行距: 1.5 倍行距"/>
    <w:basedOn w:val="1"/>
    <w:autoRedefine/>
    <w:qFormat/>
    <w:uiPriority w:val="0"/>
    <w:pPr>
      <w:widowControl w:val="0"/>
      <w:shd w:val="clear" w:color="auto" w:fill="auto"/>
      <w:tabs>
        <w:tab w:val="clear" w:pos="426"/>
      </w:tabs>
      <w:adjustRightInd/>
      <w:snapToGrid/>
    </w:pPr>
    <w:rPr>
      <w:kern w:val="2"/>
      <w:szCs w:val="20"/>
    </w:rPr>
  </w:style>
  <w:style w:type="character" w:customStyle="1" w:styleId="367">
    <w:name w:val="font10pt"/>
    <w:autoRedefine/>
    <w:qFormat/>
    <w:uiPriority w:val="0"/>
  </w:style>
  <w:style w:type="character" w:customStyle="1" w:styleId="368">
    <w:name w:val="ss1"/>
    <w:autoRedefine/>
    <w:qFormat/>
    <w:uiPriority w:val="0"/>
    <w:rPr>
      <w:rFonts w:ascii="ˎ̥" w:hAnsi="ˎ̥"/>
      <w:color w:val="000000"/>
      <w:sz w:val="18"/>
      <w:szCs w:val="18"/>
      <w:u w:val="none"/>
    </w:rPr>
  </w:style>
  <w:style w:type="character" w:customStyle="1" w:styleId="369">
    <w:name w:val="unnamed211"/>
    <w:autoRedefine/>
    <w:qFormat/>
    <w:uiPriority w:val="0"/>
    <w:rPr>
      <w:sz w:val="23"/>
      <w:szCs w:val="23"/>
    </w:rPr>
  </w:style>
  <w:style w:type="character" w:customStyle="1" w:styleId="370">
    <w:name w:val="f142"/>
    <w:autoRedefine/>
    <w:qFormat/>
    <w:uiPriority w:val="0"/>
    <w:rPr>
      <w:sz w:val="21"/>
      <w:szCs w:val="21"/>
    </w:rPr>
  </w:style>
  <w:style w:type="character" w:customStyle="1" w:styleId="371">
    <w:name w:val="f14b1"/>
    <w:autoRedefine/>
    <w:qFormat/>
    <w:uiPriority w:val="0"/>
    <w:rPr>
      <w:b/>
      <w:bCs/>
      <w:sz w:val="21"/>
      <w:szCs w:val="21"/>
    </w:rPr>
  </w:style>
  <w:style w:type="paragraph" w:customStyle="1" w:styleId="372">
    <w:name w:val="ggbody"/>
    <w:basedOn w:val="1"/>
    <w:autoRedefine/>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73">
    <w:name w:val="ggtitle"/>
    <w:basedOn w:val="1"/>
    <w:autoRedefine/>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character" w:customStyle="1" w:styleId="374">
    <w:name w:val="ggwenhao"/>
    <w:autoRedefine/>
    <w:qFormat/>
    <w:uiPriority w:val="0"/>
  </w:style>
  <w:style w:type="character" w:customStyle="1" w:styleId="375">
    <w:name w:val="text1"/>
    <w:autoRedefine/>
    <w:qFormat/>
    <w:uiPriority w:val="0"/>
  </w:style>
  <w:style w:type="character" w:customStyle="1" w:styleId="376">
    <w:name w:val="style3"/>
    <w:autoRedefine/>
    <w:qFormat/>
    <w:uiPriority w:val="0"/>
  </w:style>
  <w:style w:type="paragraph" w:customStyle="1" w:styleId="377">
    <w:name w:val="目录"/>
    <w:basedOn w:val="1"/>
    <w:autoRedefine/>
    <w:qFormat/>
    <w:uiPriority w:val="0"/>
    <w:pPr>
      <w:shd w:val="clear" w:color="auto" w:fill="auto"/>
      <w:tabs>
        <w:tab w:val="clear" w:pos="426"/>
      </w:tabs>
      <w:adjustRightInd/>
      <w:snapToGrid/>
      <w:spacing w:line="240" w:lineRule="auto"/>
      <w:jc w:val="center"/>
    </w:pPr>
    <w:rPr>
      <w:rFonts w:cs="Times New Roman"/>
      <w:b/>
      <w:sz w:val="36"/>
      <w:szCs w:val="20"/>
    </w:rPr>
  </w:style>
  <w:style w:type="character" w:customStyle="1" w:styleId="378">
    <w:name w:val="tpc_content1"/>
    <w:autoRedefine/>
    <w:qFormat/>
    <w:uiPriority w:val="0"/>
    <w:rPr>
      <w:sz w:val="20"/>
      <w:szCs w:val="20"/>
    </w:rPr>
  </w:style>
  <w:style w:type="paragraph" w:customStyle="1" w:styleId="379">
    <w:name w:val="Char1 Char Char Char"/>
    <w:basedOn w:val="1"/>
    <w:autoRedefine/>
    <w:qFormat/>
    <w:uiPriority w:val="0"/>
    <w:pPr>
      <w:widowControl w:val="0"/>
      <w:shd w:val="clear" w:color="auto" w:fill="auto"/>
      <w:tabs>
        <w:tab w:val="clear" w:pos="426"/>
      </w:tabs>
      <w:adjustRightInd/>
      <w:snapToGrid/>
      <w:spacing w:line="240" w:lineRule="auto"/>
    </w:pPr>
    <w:rPr>
      <w:rFonts w:ascii="Times New Roman" w:eastAsia="仿宋_GB2312" w:cs="Times New Roman"/>
      <w:kern w:val="2"/>
      <w:sz w:val="28"/>
    </w:rPr>
  </w:style>
  <w:style w:type="paragraph" w:customStyle="1" w:styleId="380">
    <w:name w:val="p9"/>
    <w:basedOn w:val="1"/>
    <w:autoRedefine/>
    <w:qFormat/>
    <w:uiPriority w:val="0"/>
    <w:pPr>
      <w:shd w:val="clear" w:color="auto" w:fill="auto"/>
      <w:tabs>
        <w:tab w:val="clear" w:pos="426"/>
      </w:tabs>
      <w:adjustRightInd/>
      <w:snapToGrid/>
      <w:spacing w:before="100" w:beforeAutospacing="1" w:after="100" w:afterAutospacing="1" w:line="240" w:lineRule="auto"/>
      <w:jc w:val="left"/>
    </w:pPr>
    <w:rPr>
      <w:rFonts w:ascii="Times New Roman" w:eastAsia="Arial Unicode MS" w:cs="Arial Unicode MS"/>
      <w:color w:val="000000"/>
      <w:sz w:val="18"/>
      <w:szCs w:val="18"/>
    </w:rPr>
  </w:style>
  <w:style w:type="paragraph" w:customStyle="1" w:styleId="381">
    <w:name w:val="xl32"/>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eastAsia="Arial Unicode MS" w:cs="Times New Roman"/>
      <w:sz w:val="24"/>
    </w:rPr>
  </w:style>
  <w:style w:type="paragraph" w:customStyle="1" w:styleId="382">
    <w:name w:val="2册标题2"/>
    <w:basedOn w:val="1"/>
    <w:next w:val="1"/>
    <w:autoRedefine/>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383">
    <w:name w:val="TOC 标题2"/>
    <w:basedOn w:val="2"/>
    <w:next w:val="1"/>
    <w:autoRedefine/>
    <w:qFormat/>
    <w:uiPriority w:val="0"/>
    <w:pPr>
      <w:keepNext/>
      <w:keepLines/>
      <w:tabs>
        <w:tab w:val="clear" w:pos="426"/>
      </w:tabs>
      <w:spacing w:before="480" w:after="0" w:line="276" w:lineRule="auto"/>
      <w:jc w:val="left"/>
      <w:outlineLvl w:val="9"/>
    </w:pPr>
    <w:rPr>
      <w:rFonts w:ascii="Cambria" w:hAnsi="Cambria" w:eastAsia="宋体"/>
      <w:color w:val="365F91"/>
      <w:kern w:val="0"/>
    </w:rPr>
  </w:style>
  <w:style w:type="paragraph" w:customStyle="1" w:styleId="384">
    <w:name w:val="Char Char Char Char Char Char Char1"/>
    <w:basedOn w:val="1"/>
    <w:autoRedefine/>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eastAsia="仿宋_GB2312" w:cs="Times New Roman"/>
      <w:kern w:val="2"/>
      <w:sz w:val="24"/>
    </w:rPr>
  </w:style>
  <w:style w:type="paragraph" w:customStyle="1" w:styleId="385">
    <w:name w:val="表1"/>
    <w:basedOn w:val="1"/>
    <w:autoRedefine/>
    <w:qFormat/>
    <w:uiPriority w:val="0"/>
    <w:pPr>
      <w:widowControl w:val="0"/>
      <w:shd w:val="clear" w:color="auto" w:fill="auto"/>
      <w:tabs>
        <w:tab w:val="clear" w:pos="426"/>
      </w:tabs>
      <w:adjustRightInd/>
      <w:snapToGrid/>
      <w:spacing w:line="240" w:lineRule="auto"/>
    </w:pPr>
    <w:rPr>
      <w:rFonts w:ascii="Times New Roman" w:cs="Times New Roman"/>
      <w:kern w:val="2"/>
      <w:sz w:val="24"/>
      <w:szCs w:val="20"/>
    </w:rPr>
  </w:style>
  <w:style w:type="character" w:customStyle="1" w:styleId="386">
    <w:name w:val="138v1"/>
    <w:autoRedefine/>
    <w:qFormat/>
    <w:uiPriority w:val="0"/>
  </w:style>
  <w:style w:type="character" w:customStyle="1" w:styleId="387">
    <w:name w:val="正文缩进 Char1"/>
    <w:autoRedefine/>
    <w:qFormat/>
    <w:uiPriority w:val="0"/>
    <w:rPr>
      <w:kern w:val="2"/>
      <w:sz w:val="21"/>
    </w:rPr>
  </w:style>
  <w:style w:type="paragraph" w:customStyle="1" w:styleId="388">
    <w:name w:val="Default Text"/>
    <w:basedOn w:val="1"/>
    <w:autoRedefine/>
    <w:qFormat/>
    <w:uiPriority w:val="0"/>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389">
    <w:name w:val="缺省文本"/>
    <w:basedOn w:val="1"/>
    <w:autoRedefine/>
    <w:qFormat/>
    <w:uiPriority w:val="0"/>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390">
    <w:name w:val="_Style 38"/>
    <w:basedOn w:val="1"/>
    <w:autoRedefine/>
    <w:qFormat/>
    <w:uiPriority w:val="0"/>
    <w:pPr>
      <w:widowControl w:val="0"/>
      <w:shd w:val="clear" w:color="auto" w:fill="auto"/>
      <w:tabs>
        <w:tab w:val="clear" w:pos="426"/>
      </w:tabs>
      <w:adjustRightInd/>
      <w:snapToGrid/>
      <w:spacing w:line="240" w:lineRule="auto"/>
    </w:pPr>
    <w:rPr>
      <w:rFonts w:ascii="Times New Roman" w:cs="Times New Roman"/>
      <w:kern w:val="2"/>
    </w:rPr>
  </w:style>
  <w:style w:type="paragraph" w:customStyle="1" w:styleId="391">
    <w:name w:val="标题1"/>
    <w:basedOn w:val="2"/>
    <w:autoRedefine/>
    <w:qFormat/>
    <w:uiPriority w:val="0"/>
    <w:pPr>
      <w:keepNext/>
      <w:keepLines/>
      <w:numPr>
        <w:ilvl w:val="0"/>
        <w:numId w:val="30"/>
      </w:numPr>
      <w:tabs>
        <w:tab w:val="clear" w:pos="426"/>
      </w:tabs>
      <w:spacing w:before="400" w:after="400" w:line="240" w:lineRule="auto"/>
      <w:jc w:val="both"/>
    </w:pPr>
    <w:rPr>
      <w:rFonts w:ascii="Times New Roman"/>
      <w:sz w:val="30"/>
      <w:szCs w:val="24"/>
    </w:rPr>
  </w:style>
  <w:style w:type="paragraph" w:customStyle="1" w:styleId="392">
    <w:name w:val="附录"/>
    <w:basedOn w:val="20"/>
    <w:next w:val="1"/>
    <w:autoRedefine/>
    <w:qFormat/>
    <w:uiPriority w:val="0"/>
    <w:pPr>
      <w:widowControl w:val="0"/>
      <w:shd w:val="clear" w:color="auto" w:fill="auto"/>
      <w:tabs>
        <w:tab w:val="clear" w:pos="426"/>
      </w:tabs>
      <w:adjustRightInd/>
      <w:snapToGrid/>
      <w:spacing w:before="152" w:after="160" w:line="240" w:lineRule="auto"/>
    </w:pPr>
    <w:rPr>
      <w:kern w:val="2"/>
    </w:rPr>
  </w:style>
  <w:style w:type="paragraph" w:customStyle="1" w:styleId="393">
    <w:name w:val="表格注释"/>
    <w:basedOn w:val="1"/>
    <w:autoRedefine/>
    <w:qFormat/>
    <w:uiPriority w:val="0"/>
    <w:pPr>
      <w:widowControl w:val="0"/>
      <w:shd w:val="clear" w:color="auto" w:fill="auto"/>
      <w:tabs>
        <w:tab w:val="clear" w:pos="426"/>
      </w:tabs>
      <w:adjustRightInd/>
      <w:snapToGrid/>
      <w:spacing w:line="300" w:lineRule="exact"/>
      <w:ind w:firstLine="200" w:firstLineChars="200"/>
      <w:jc w:val="left"/>
    </w:pPr>
    <w:rPr>
      <w:rFonts w:ascii="Times New Roman" w:eastAsia="楷体_GB2312"/>
      <w:szCs w:val="21"/>
    </w:rPr>
  </w:style>
  <w:style w:type="paragraph" w:customStyle="1" w:styleId="394">
    <w:name w:val="样式 题注 + 行距: 固定值 23 磅"/>
    <w:basedOn w:val="20"/>
    <w:autoRedefine/>
    <w:qFormat/>
    <w:uiPriority w:val="0"/>
    <w:pPr>
      <w:widowControl w:val="0"/>
      <w:shd w:val="clear" w:color="auto" w:fill="auto"/>
      <w:tabs>
        <w:tab w:val="clear" w:pos="426"/>
      </w:tabs>
      <w:adjustRightInd/>
      <w:snapToGrid/>
      <w:spacing w:after="300" w:line="460" w:lineRule="exact"/>
      <w:jc w:val="center"/>
    </w:pPr>
    <w:rPr>
      <w:rFonts w:eastAsia="宋体" w:cs="宋体"/>
      <w:kern w:val="2"/>
      <w:sz w:val="21"/>
      <w:szCs w:val="24"/>
    </w:rPr>
  </w:style>
  <w:style w:type="character" w:customStyle="1" w:styleId="395">
    <w:name w:val="普通文字1 Char Char"/>
    <w:autoRedefine/>
    <w:qFormat/>
    <w:uiPriority w:val="0"/>
    <w:rPr>
      <w:rFonts w:ascii="宋体" w:eastAsia="宋体" w:cs="Courier New"/>
      <w:kern w:val="2"/>
      <w:sz w:val="21"/>
      <w:szCs w:val="21"/>
      <w:lang w:val="en-US" w:eastAsia="zh-CN" w:bidi="ar-SA"/>
    </w:rPr>
  </w:style>
  <w:style w:type="paragraph" w:customStyle="1" w:styleId="396">
    <w:name w:val="--规划正文"/>
    <w:basedOn w:val="1"/>
    <w:autoRedefine/>
    <w:qFormat/>
    <w:uiPriority w:val="0"/>
    <w:pPr>
      <w:widowControl w:val="0"/>
      <w:shd w:val="clear" w:color="auto" w:fill="auto"/>
      <w:tabs>
        <w:tab w:val="clear" w:pos="426"/>
      </w:tabs>
      <w:adjustRightInd/>
      <w:snapToGrid/>
      <w:ind w:firstLine="200" w:firstLineChars="200"/>
    </w:pPr>
    <w:rPr>
      <w:rFonts w:ascii="Times New Roman" w:cs="Times New Roman"/>
      <w:kern w:val="2"/>
      <w:szCs w:val="20"/>
    </w:rPr>
  </w:style>
  <w:style w:type="paragraph" w:customStyle="1" w:styleId="397">
    <w:name w:val="xl25"/>
    <w:basedOn w:val="1"/>
    <w:autoRedefine/>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98">
    <w:name w:val="cqq2"/>
    <w:basedOn w:val="1"/>
    <w:autoRedefine/>
    <w:qFormat/>
    <w:uiPriority w:val="0"/>
    <w:pPr>
      <w:widowControl w:val="0"/>
      <w:shd w:val="clear" w:color="auto" w:fill="auto"/>
      <w:tabs>
        <w:tab w:val="clear" w:pos="426"/>
      </w:tabs>
      <w:adjustRightInd/>
      <w:snapToGrid/>
      <w:spacing w:line="520" w:lineRule="exact"/>
    </w:pPr>
    <w:rPr>
      <w:rFonts w:ascii="仿宋_GB2312" w:eastAsia="仿宋_GB2312" w:cs="Times New Roman"/>
      <w:b/>
      <w:kern w:val="2"/>
      <w:sz w:val="28"/>
      <w:szCs w:val="20"/>
    </w:rPr>
  </w:style>
  <w:style w:type="character" w:customStyle="1" w:styleId="399">
    <w:name w:val="纯文本 Char1"/>
    <w:autoRedefine/>
    <w:qFormat/>
    <w:uiPriority w:val="0"/>
    <w:rPr>
      <w:rFonts w:ascii="宋体" w:cs="Courier New"/>
      <w:kern w:val="2"/>
      <w:sz w:val="21"/>
      <w:szCs w:val="21"/>
      <w:lang w:bidi="ar-SA"/>
    </w:rPr>
  </w:style>
  <w:style w:type="character" w:customStyle="1" w:styleId="400">
    <w:name w:val="日期 Char1"/>
    <w:autoRedefine/>
    <w:qFormat/>
    <w:uiPriority w:val="0"/>
    <w:rPr>
      <w:kern w:val="2"/>
      <w:sz w:val="21"/>
      <w:szCs w:val="24"/>
    </w:rPr>
  </w:style>
  <w:style w:type="character" w:customStyle="1" w:styleId="401">
    <w:name w:val="文档结构图 Char1"/>
    <w:autoRedefine/>
    <w:qFormat/>
    <w:uiPriority w:val="0"/>
    <w:rPr>
      <w:rFonts w:ascii="宋体"/>
      <w:kern w:val="2"/>
      <w:sz w:val="18"/>
      <w:szCs w:val="18"/>
    </w:rPr>
  </w:style>
  <w:style w:type="character" w:customStyle="1" w:styleId="402">
    <w:name w:val="正文文本缩进 Char1"/>
    <w:autoRedefine/>
    <w:qFormat/>
    <w:uiPriority w:val="0"/>
    <w:rPr>
      <w:kern w:val="2"/>
      <w:sz w:val="21"/>
      <w:szCs w:val="24"/>
    </w:rPr>
  </w:style>
  <w:style w:type="character" w:customStyle="1" w:styleId="403">
    <w:name w:val="正文文本缩进 3 Char1"/>
    <w:autoRedefine/>
    <w:qFormat/>
    <w:uiPriority w:val="0"/>
    <w:rPr>
      <w:kern w:val="2"/>
      <w:sz w:val="16"/>
      <w:szCs w:val="16"/>
    </w:rPr>
  </w:style>
  <w:style w:type="character" w:customStyle="1" w:styleId="404">
    <w:name w:val="副标题 Char1"/>
    <w:autoRedefine/>
    <w:qFormat/>
    <w:uiPriority w:val="0"/>
    <w:rPr>
      <w:rFonts w:ascii="Cambria" w:hAnsi="Cambria" w:cs="Times New Roman"/>
      <w:b/>
      <w:bCs/>
      <w:kern w:val="28"/>
      <w:sz w:val="32"/>
      <w:szCs w:val="32"/>
      <w:lang w:bidi="ar-SA"/>
    </w:rPr>
  </w:style>
  <w:style w:type="character" w:customStyle="1" w:styleId="405">
    <w:name w:val="页脚 Char1"/>
    <w:autoRedefine/>
    <w:qFormat/>
    <w:uiPriority w:val="0"/>
    <w:rPr>
      <w:kern w:val="2"/>
      <w:sz w:val="18"/>
      <w:szCs w:val="18"/>
    </w:rPr>
  </w:style>
  <w:style w:type="paragraph" w:customStyle="1" w:styleId="406">
    <w:name w:val="Char Char Char1 Char Char Char1 Char Char Char Char Char Char1 Char Char Char1 Char"/>
    <w:basedOn w:val="1"/>
    <w:autoRedefine/>
    <w:qFormat/>
    <w:uiPriority w:val="0"/>
    <w:pPr>
      <w:widowControl w:val="0"/>
      <w:shd w:val="clear" w:color="auto" w:fill="auto"/>
      <w:tabs>
        <w:tab w:val="clear" w:pos="426"/>
      </w:tabs>
      <w:adjustRightInd/>
      <w:snapToGrid/>
      <w:spacing w:line="240" w:lineRule="auto"/>
    </w:pPr>
    <w:rPr>
      <w:rFonts w:ascii="Times New Roman" w:cs="Times New Roman"/>
      <w:kern w:val="2"/>
      <w:szCs w:val="20"/>
    </w:rPr>
  </w:style>
  <w:style w:type="paragraph" w:customStyle="1" w:styleId="407">
    <w:name w:val="1"/>
    <w:basedOn w:val="1"/>
    <w:autoRedefine/>
    <w:qFormat/>
    <w:uiPriority w:val="0"/>
    <w:pPr>
      <w:tabs>
        <w:tab w:val="clear" w:pos="426"/>
      </w:tabs>
      <w:adjustRightInd/>
      <w:snapToGrid/>
      <w:spacing w:before="280" w:after="290" w:line="376" w:lineRule="auto"/>
      <w:ind w:left="420" w:hanging="420"/>
      <w:jc w:val="left"/>
      <w:outlineLvl w:val="2"/>
    </w:pPr>
    <w:rPr>
      <w:rFonts w:cs="Times New Roman"/>
      <w:b/>
      <w:sz w:val="24"/>
    </w:rPr>
  </w:style>
  <w:style w:type="character" w:customStyle="1" w:styleId="408">
    <w:name w:val="标题 1 Char"/>
    <w:autoRedefine/>
    <w:qFormat/>
    <w:uiPriority w:val="0"/>
    <w:rPr>
      <w:rFonts w:ascii="宋体" w:hAnsi="宋体" w:eastAsia="黑体" w:cs="Times New Roman"/>
      <w:b/>
      <w:bCs/>
      <w:kern w:val="44"/>
      <w:sz w:val="28"/>
      <w:szCs w:val="28"/>
      <w:shd w:val="clear" w:color="auto" w:fill="FFFFFF"/>
      <w:lang w:bidi="ar-SA"/>
    </w:rPr>
  </w:style>
  <w:style w:type="paragraph" w:customStyle="1" w:styleId="409">
    <w:name w:val="样式 1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0">
    <w:name w:val="修订2"/>
    <w:autoRedefine/>
    <w:qFormat/>
    <w:uiPriority w:val="0"/>
    <w:rPr>
      <w:rFonts w:ascii="宋体" w:hAnsi="Times New Roman" w:eastAsia="宋体" w:cs="宋体"/>
      <w:sz w:val="21"/>
      <w:szCs w:val="24"/>
      <w:lang w:val="en-US" w:eastAsia="zh-CN" w:bidi="ar-SA"/>
    </w:rPr>
  </w:style>
  <w:style w:type="paragraph" w:customStyle="1" w:styleId="411">
    <w:name w:val="样式 10 磅"/>
    <w:autoRedefine/>
    <w:qFormat/>
    <w:uiPriority w:val="0"/>
    <w:pPr>
      <w:shd w:val="clear" w:color="auto" w:fill="FFFFFF"/>
      <w:tabs>
        <w:tab w:val="left" w:pos="426"/>
      </w:tabs>
      <w:adjustRightInd w:val="0"/>
      <w:snapToGrid w:val="0"/>
      <w:spacing w:line="360" w:lineRule="auto"/>
      <w:jc w:val="both"/>
    </w:pPr>
    <w:rPr>
      <w:rFonts w:ascii="宋体" w:hAnsi="Times New Roman" w:eastAsia="宋体" w:cs="宋体"/>
      <w:sz w:val="21"/>
      <w:szCs w:val="24"/>
      <w:lang w:val="en-US" w:eastAsia="zh-CN" w:bidi="ar-SA"/>
    </w:rPr>
  </w:style>
  <w:style w:type="paragraph" w:customStyle="1" w:styleId="412">
    <w:name w:val="_Style 386"/>
    <w:basedOn w:val="1"/>
    <w:next w:val="1"/>
    <w:link w:val="413"/>
    <w:autoRedefine/>
    <w:qFormat/>
    <w:uiPriority w:val="0"/>
    <w:pPr>
      <w:widowControl w:val="0"/>
      <w:shd w:val="clear" w:color="auto" w:fill="auto"/>
      <w:tabs>
        <w:tab w:val="clear" w:pos="426"/>
      </w:tabs>
      <w:adjustRightInd/>
      <w:snapToGrid/>
      <w:spacing w:line="240" w:lineRule="auto"/>
      <w:ind w:left="840"/>
      <w:jc w:val="left"/>
    </w:pPr>
    <w:rPr>
      <w:rFonts w:cs="Times New Roman"/>
      <w:kern w:val="2"/>
    </w:rPr>
  </w:style>
  <w:style w:type="character" w:customStyle="1" w:styleId="413">
    <w:name w:val="正文首行缩进 Char"/>
    <w:link w:val="412"/>
    <w:autoRedefine/>
    <w:qFormat/>
    <w:uiPriority w:val="0"/>
    <w:rPr>
      <w:rFonts w:ascii="宋体"/>
      <w:kern w:val="2"/>
      <w:sz w:val="21"/>
      <w:szCs w:val="24"/>
    </w:rPr>
  </w:style>
  <w:style w:type="character" w:customStyle="1" w:styleId="414">
    <w:name w:val="unnamed4"/>
    <w:autoRedefine/>
    <w:qFormat/>
    <w:uiPriority w:val="0"/>
  </w:style>
  <w:style w:type="character" w:customStyle="1" w:styleId="415">
    <w:name w:val="样式 小五"/>
    <w:autoRedefine/>
    <w:qFormat/>
    <w:uiPriority w:val="0"/>
    <w:rPr>
      <w:rFonts w:eastAsia="仿宋_GB2312"/>
      <w:sz w:val="18"/>
    </w:rPr>
  </w:style>
  <w:style w:type="character" w:customStyle="1" w:styleId="416">
    <w:name w:val="标题 3 Char1"/>
    <w:autoRedefine/>
    <w:qFormat/>
    <w:uiPriority w:val="0"/>
    <w:rPr>
      <w:rFonts w:eastAsia="宋体"/>
      <w:b/>
      <w:bCs/>
      <w:kern w:val="2"/>
      <w:sz w:val="32"/>
      <w:szCs w:val="32"/>
      <w:lang w:val="en-US" w:eastAsia="zh-CN" w:bidi="ar-SA"/>
    </w:rPr>
  </w:style>
  <w:style w:type="character" w:customStyle="1" w:styleId="417">
    <w:name w:val="标题 3 Char Char"/>
    <w:autoRedefine/>
    <w:qFormat/>
    <w:uiPriority w:val="0"/>
    <w:rPr>
      <w:rFonts w:ascii="黑体" w:eastAsia="黑体"/>
      <w:bCs/>
      <w:sz w:val="30"/>
    </w:rPr>
  </w:style>
  <w:style w:type="paragraph" w:customStyle="1" w:styleId="418">
    <w:name w:val="正文缩入"/>
    <w:basedOn w:val="1"/>
    <w:autoRedefine/>
    <w:qFormat/>
    <w:uiPriority w:val="0"/>
    <w:pPr>
      <w:widowControl w:val="0"/>
      <w:shd w:val="clear" w:color="auto" w:fill="auto"/>
      <w:tabs>
        <w:tab w:val="clear" w:pos="426"/>
      </w:tabs>
      <w:adjustRightInd/>
      <w:snapToGrid/>
      <w:spacing w:after="120" w:line="240" w:lineRule="auto"/>
      <w:ind w:firstLine="504"/>
    </w:pPr>
    <w:rPr>
      <w:rFonts w:ascii="Times New Roman" w:eastAsia="Times New Roman" w:cs="Times New Roman"/>
      <w:kern w:val="2"/>
      <w:sz w:val="24"/>
    </w:rPr>
  </w:style>
  <w:style w:type="paragraph" w:customStyle="1" w:styleId="419">
    <w:name w:val="Char Char Char Char Char Char Char Char"/>
    <w:basedOn w:val="1"/>
    <w:next w:val="1"/>
    <w:autoRedefine/>
    <w:qFormat/>
    <w:uiPriority w:val="0"/>
    <w:pPr>
      <w:shd w:val="clear" w:color="auto" w:fill="auto"/>
      <w:tabs>
        <w:tab w:val="clear" w:pos="426"/>
      </w:tabs>
      <w:adjustRightInd/>
      <w:snapToGrid/>
      <w:spacing w:after="160" w:line="240" w:lineRule="exact"/>
      <w:jc w:val="left"/>
    </w:pPr>
    <w:rPr>
      <w:rFonts w:ascii="Verdana" w:hAnsi="Verdana" w:cs="Times New Roman"/>
      <w:sz w:val="20"/>
      <w:szCs w:val="20"/>
      <w:lang w:eastAsia="en-US"/>
    </w:rPr>
  </w:style>
  <w:style w:type="paragraph" w:customStyle="1" w:styleId="420">
    <w:name w:val="题注5"/>
    <w:basedOn w:val="1"/>
    <w:next w:val="20"/>
    <w:autoRedefine/>
    <w:qFormat/>
    <w:uiPriority w:val="0"/>
    <w:pPr>
      <w:widowControl w:val="0"/>
      <w:shd w:val="clear" w:color="auto" w:fill="auto"/>
      <w:tabs>
        <w:tab w:val="clear" w:pos="426"/>
      </w:tabs>
      <w:adjustRightInd/>
      <w:snapToGrid/>
      <w:spacing w:line="240" w:lineRule="auto"/>
      <w:jc w:val="center"/>
    </w:pPr>
    <w:rPr>
      <w:rFonts w:ascii="Times New Roman" w:cs="Times New Roman"/>
      <w:b/>
      <w:color w:val="000000"/>
      <w:kern w:val="2"/>
      <w:sz w:val="24"/>
      <w:szCs w:val="21"/>
    </w:rPr>
  </w:style>
  <w:style w:type="paragraph" w:customStyle="1" w:styleId="421">
    <w:name w:val="正文缩进1"/>
    <w:basedOn w:val="1"/>
    <w:autoRedefine/>
    <w:qFormat/>
    <w:uiPriority w:val="0"/>
    <w:pPr>
      <w:widowControl w:val="0"/>
      <w:shd w:val="clear" w:color="auto" w:fill="auto"/>
      <w:tabs>
        <w:tab w:val="clear" w:pos="426"/>
      </w:tabs>
      <w:adjustRightInd/>
      <w:snapToGrid/>
      <w:spacing w:line="240" w:lineRule="auto"/>
      <w:ind w:firstLine="200" w:firstLineChars="200"/>
    </w:pPr>
    <w:rPr>
      <w:rFonts w:ascii="Times New Roman" w:cs="Times New Roman"/>
      <w:sz w:val="20"/>
    </w:rPr>
  </w:style>
  <w:style w:type="paragraph" w:customStyle="1" w:styleId="422">
    <w:name w:val="表格文字"/>
    <w:basedOn w:val="1"/>
    <w:qFormat/>
    <w:uiPriority w:val="0"/>
    <w:pPr>
      <w:widowControl w:val="0"/>
      <w:shd w:val="clear" w:color="auto" w:fill="auto"/>
      <w:tabs>
        <w:tab w:val="clear" w:pos="426"/>
      </w:tabs>
      <w:adjustRightInd/>
      <w:snapToGrid/>
      <w:spacing w:before="25" w:after="25" w:line="240" w:lineRule="auto"/>
      <w:jc w:val="left"/>
    </w:pPr>
    <w:rPr>
      <w:rFonts w:ascii="Times New Roman" w:cs="Times New Roman"/>
      <w:bCs/>
      <w:spacing w:val="10"/>
      <w:sz w:val="24"/>
      <w:szCs w:val="20"/>
    </w:rPr>
  </w:style>
  <w:style w:type="paragraph" w:customStyle="1" w:styleId="423">
    <w:name w:val="样式 普通(网站) + 小五"/>
    <w:basedOn w:val="78"/>
    <w:link w:val="424"/>
    <w:autoRedefine/>
    <w:qFormat/>
    <w:uiPriority w:val="0"/>
    <w:pPr>
      <w:shd w:val="clear" w:color="auto" w:fill="auto"/>
      <w:tabs>
        <w:tab w:val="clear" w:pos="426"/>
      </w:tabs>
      <w:adjustRightInd/>
      <w:snapToGrid/>
      <w:spacing w:line="240" w:lineRule="exact"/>
      <w:jc w:val="left"/>
    </w:pPr>
    <w:rPr>
      <w:rFonts w:ascii="Arial Unicode MS" w:hAnsi="Arial Unicode MS" w:eastAsia="仿宋_GB2312" w:cs="Times New Roman"/>
      <w:sz w:val="18"/>
    </w:rPr>
  </w:style>
  <w:style w:type="character" w:customStyle="1" w:styleId="424">
    <w:name w:val="样式 普通(网站) + 小五 Char"/>
    <w:link w:val="423"/>
    <w:autoRedefine/>
    <w:qFormat/>
    <w:uiPriority w:val="0"/>
    <w:rPr>
      <w:rFonts w:ascii="Arial Unicode MS" w:hAnsi="Arial Unicode MS" w:eastAsia="仿宋_GB2312"/>
      <w:sz w:val="18"/>
      <w:szCs w:val="24"/>
    </w:rPr>
  </w:style>
  <w:style w:type="paragraph" w:customStyle="1" w:styleId="425">
    <w:name w:val="题注4"/>
    <w:basedOn w:val="1"/>
    <w:next w:val="20"/>
    <w:autoRedefine/>
    <w:qFormat/>
    <w:uiPriority w:val="0"/>
    <w:pPr>
      <w:widowControl w:val="0"/>
      <w:shd w:val="clear" w:color="auto" w:fill="auto"/>
      <w:tabs>
        <w:tab w:val="clear" w:pos="426"/>
      </w:tabs>
      <w:adjustRightInd/>
      <w:snapToGrid/>
      <w:spacing w:line="240" w:lineRule="auto"/>
      <w:ind w:left="-62" w:leftChars="-64" w:right="-50" w:rightChars="-50" w:hanging="2"/>
      <w:jc w:val="center"/>
    </w:pPr>
    <w:rPr>
      <w:rFonts w:ascii="Times New Roman" w:cs="Times New Roman"/>
      <w:b/>
      <w:color w:val="FF0000"/>
      <w:kern w:val="2"/>
      <w:szCs w:val="21"/>
      <w:lang w:val="en-GB" w:eastAsia="en-GB"/>
    </w:rPr>
  </w:style>
  <w:style w:type="paragraph" w:customStyle="1" w:styleId="426">
    <w:name w:val="Char Char Char Char Char Char Char Char Char1 Char Char Char Char Char Char Char Char Char Char Char Char Char"/>
    <w:basedOn w:val="2"/>
    <w:autoRedefine/>
    <w:qFormat/>
    <w:uiPriority w:val="0"/>
    <w:pPr>
      <w:keepNext/>
      <w:keepLines/>
      <w:widowControl/>
      <w:tabs>
        <w:tab w:val="left" w:pos="4032"/>
        <w:tab w:val="clear" w:pos="426"/>
      </w:tabs>
      <w:snapToGrid w:val="0"/>
      <w:spacing w:before="240" w:after="240" w:line="348" w:lineRule="auto"/>
      <w:ind w:left="907" w:hanging="907"/>
      <w:jc w:val="left"/>
    </w:pPr>
    <w:rPr>
      <w:rFonts w:ascii="华文细黑" w:hAnsi="华文细黑" w:eastAsia="宋体"/>
      <w:b/>
      <w:kern w:val="0"/>
      <w:szCs w:val="44"/>
    </w:rPr>
  </w:style>
  <w:style w:type="paragraph" w:customStyle="1" w:styleId="427">
    <w:name w:val="纯文本1"/>
    <w:basedOn w:val="1"/>
    <w:link w:val="428"/>
    <w:autoRedefine/>
    <w:qFormat/>
    <w:uiPriority w:val="0"/>
    <w:pPr>
      <w:widowControl w:val="0"/>
      <w:shd w:val="clear" w:color="auto" w:fill="auto"/>
      <w:tabs>
        <w:tab w:val="clear" w:pos="426"/>
      </w:tabs>
      <w:adjustRightInd/>
      <w:snapToGrid/>
      <w:spacing w:line="240" w:lineRule="auto"/>
    </w:pPr>
    <w:rPr>
      <w:rFonts w:cs="Times New Roman"/>
      <w:sz w:val="20"/>
      <w:szCs w:val="21"/>
    </w:rPr>
  </w:style>
  <w:style w:type="character" w:customStyle="1" w:styleId="428">
    <w:name w:val="纯文本 Char"/>
    <w:link w:val="427"/>
    <w:qFormat/>
    <w:uiPriority w:val="0"/>
    <w:rPr>
      <w:rFonts w:ascii="宋体"/>
      <w:szCs w:val="21"/>
    </w:rPr>
  </w:style>
  <w:style w:type="paragraph" w:customStyle="1" w:styleId="429">
    <w:name w:val="保留正文"/>
    <w:basedOn w:val="32"/>
    <w:autoRedefine/>
    <w:qFormat/>
    <w:uiPriority w:val="0"/>
    <w:pPr>
      <w:keepNext/>
      <w:widowControl w:val="0"/>
      <w:shd w:val="clear" w:color="auto" w:fill="auto"/>
      <w:tabs>
        <w:tab w:val="clear" w:pos="426"/>
      </w:tabs>
      <w:adjustRightInd/>
      <w:snapToGrid/>
      <w:spacing w:after="160" w:line="240" w:lineRule="auto"/>
    </w:pPr>
    <w:rPr>
      <w:rFonts w:ascii="Times New Roman"/>
      <w:b w:val="0"/>
      <w:bCs w:val="0"/>
      <w:kern w:val="2"/>
      <w:sz w:val="21"/>
    </w:rPr>
  </w:style>
  <w:style w:type="paragraph" w:customStyle="1" w:styleId="430">
    <w:name w:val="Char Char2"/>
    <w:basedOn w:val="1"/>
    <w:autoRedefine/>
    <w:qFormat/>
    <w:uiPriority w:val="0"/>
    <w:pPr>
      <w:widowControl w:val="0"/>
      <w:shd w:val="clear" w:color="auto" w:fill="auto"/>
      <w:tabs>
        <w:tab w:val="clear" w:pos="426"/>
      </w:tabs>
      <w:adjustRightInd/>
      <w:snapToGrid/>
      <w:spacing w:line="240" w:lineRule="auto"/>
    </w:pPr>
    <w:rPr>
      <w:rFonts w:cs="Times New Roman"/>
      <w:b/>
      <w:kern w:val="2"/>
      <w:sz w:val="28"/>
      <w:szCs w:val="28"/>
    </w:rPr>
  </w:style>
  <w:style w:type="paragraph" w:customStyle="1" w:styleId="431">
    <w:name w:val="文档结构图1"/>
    <w:basedOn w:val="1"/>
    <w:link w:val="432"/>
    <w:autoRedefine/>
    <w:qFormat/>
    <w:uiPriority w:val="0"/>
    <w:pPr>
      <w:widowControl w:val="0"/>
      <w:shd w:val="clear" w:color="auto" w:fill="auto"/>
      <w:tabs>
        <w:tab w:val="clear" w:pos="426"/>
      </w:tabs>
      <w:adjustRightInd/>
      <w:snapToGrid/>
      <w:spacing w:line="240" w:lineRule="auto"/>
    </w:pPr>
    <w:rPr>
      <w:rFonts w:cs="Times New Roman"/>
      <w:sz w:val="18"/>
      <w:szCs w:val="18"/>
    </w:rPr>
  </w:style>
  <w:style w:type="character" w:customStyle="1" w:styleId="432">
    <w:name w:val="文档结构图 Char"/>
    <w:link w:val="431"/>
    <w:autoRedefine/>
    <w:qFormat/>
    <w:uiPriority w:val="0"/>
    <w:rPr>
      <w:rFonts w:ascii="宋体"/>
      <w:sz w:val="18"/>
      <w:szCs w:val="18"/>
    </w:rPr>
  </w:style>
  <w:style w:type="paragraph" w:customStyle="1" w:styleId="433">
    <w:name w:val="填表"/>
    <w:autoRedefine/>
    <w:qFormat/>
    <w:uiPriority w:val="0"/>
    <w:rPr>
      <w:rFonts w:ascii="Times New Roman" w:hAnsi="Times New Roman" w:eastAsia="宋体" w:cs="Times New Roman"/>
      <w:kern w:val="2"/>
      <w:sz w:val="18"/>
      <w:szCs w:val="21"/>
      <w:lang w:val="en-US" w:eastAsia="zh-CN" w:bidi="ar-SA"/>
    </w:rPr>
  </w:style>
  <w:style w:type="paragraph" w:customStyle="1" w:styleId="434">
    <w:name w:val="Char Char Char Char Char Char Char Char Char Char"/>
    <w:basedOn w:val="1"/>
    <w:autoRedefine/>
    <w:qFormat/>
    <w:uiPriority w:val="0"/>
    <w:pPr>
      <w:shd w:val="clear" w:color="auto" w:fill="auto"/>
      <w:tabs>
        <w:tab w:val="clear" w:pos="426"/>
      </w:tabs>
      <w:adjustRightInd/>
      <w:snapToGrid/>
      <w:spacing w:after="160" w:line="240" w:lineRule="exact"/>
      <w:jc w:val="left"/>
    </w:pPr>
    <w:rPr>
      <w:rFonts w:ascii="Arial" w:hAnsi="Arial" w:cs="Times New Roman"/>
      <w:kern w:val="2"/>
    </w:rPr>
  </w:style>
  <w:style w:type="paragraph" w:customStyle="1" w:styleId="435">
    <w:name w:val="默认段落字体 Para Char Char Char Char"/>
    <w:basedOn w:val="1"/>
    <w:autoRedefine/>
    <w:qFormat/>
    <w:uiPriority w:val="0"/>
    <w:pPr>
      <w:widowControl w:val="0"/>
      <w:shd w:val="clear" w:color="auto" w:fill="auto"/>
      <w:tabs>
        <w:tab w:val="clear" w:pos="426"/>
      </w:tabs>
      <w:adjustRightInd/>
      <w:spacing w:line="240" w:lineRule="auto"/>
    </w:pPr>
    <w:rPr>
      <w:rFonts w:ascii="华文细黑" w:hAnsi="华文细黑" w:cs="Times New Roman"/>
      <w:b/>
      <w:bCs/>
      <w:kern w:val="2"/>
      <w:sz w:val="28"/>
      <w:szCs w:val="44"/>
    </w:rPr>
  </w:style>
  <w:style w:type="paragraph" w:customStyle="1" w:styleId="436">
    <w:name w:val="d_post_content"/>
    <w:basedOn w:val="1"/>
    <w:autoRedefine/>
    <w:qFormat/>
    <w:uiPriority w:val="0"/>
    <w:pPr>
      <w:shd w:val="clear" w:color="auto" w:fill="auto"/>
      <w:tabs>
        <w:tab w:val="clear" w:pos="426"/>
      </w:tabs>
      <w:wordWrap w:val="0"/>
      <w:adjustRightInd/>
      <w:snapToGrid/>
      <w:spacing w:before="100" w:beforeAutospacing="1" w:after="100" w:afterAutospacing="1" w:line="360" w:lineRule="atLeast"/>
      <w:jc w:val="left"/>
    </w:pPr>
    <w:rPr>
      <w:rFonts w:hAnsi="宋体"/>
      <w:szCs w:val="21"/>
    </w:rPr>
  </w:style>
  <w:style w:type="paragraph" w:customStyle="1" w:styleId="437">
    <w:name w:val="文件正文"/>
    <w:basedOn w:val="1"/>
    <w:link w:val="438"/>
    <w:autoRedefine/>
    <w:qFormat/>
    <w:uiPriority w:val="0"/>
    <w:pPr>
      <w:widowControl w:val="0"/>
      <w:shd w:val="clear" w:color="auto" w:fill="auto"/>
      <w:tabs>
        <w:tab w:val="clear" w:pos="426"/>
      </w:tabs>
      <w:adjustRightInd/>
      <w:snapToGrid/>
      <w:ind w:firstLine="480" w:firstLineChars="200"/>
    </w:pPr>
    <w:rPr>
      <w:rFonts w:ascii="Times New Roman" w:eastAsia="仿宋_GB2312" w:cs="Times New Roman"/>
      <w:kern w:val="2"/>
      <w:sz w:val="24"/>
      <w:szCs w:val="20"/>
    </w:rPr>
  </w:style>
  <w:style w:type="character" w:customStyle="1" w:styleId="438">
    <w:name w:val="文件正文 Char Char"/>
    <w:link w:val="437"/>
    <w:autoRedefine/>
    <w:qFormat/>
    <w:uiPriority w:val="0"/>
    <w:rPr>
      <w:rFonts w:eastAsia="仿宋_GB2312"/>
      <w:kern w:val="2"/>
      <w:sz w:val="24"/>
    </w:rPr>
  </w:style>
  <w:style w:type="paragraph" w:customStyle="1" w:styleId="439">
    <w:name w:val="Char Char2 Char"/>
    <w:basedOn w:val="1"/>
    <w:autoRedefine/>
    <w:qFormat/>
    <w:uiPriority w:val="0"/>
    <w:pPr>
      <w:widowControl w:val="0"/>
      <w:shd w:val="clear" w:color="auto" w:fill="auto"/>
      <w:tabs>
        <w:tab w:val="clear" w:pos="426"/>
      </w:tabs>
      <w:adjustRightInd/>
      <w:snapToGrid/>
      <w:spacing w:line="240" w:lineRule="auto"/>
    </w:pPr>
    <w:rPr>
      <w:rFonts w:hAnsi="宋体" w:cs="Times New Roman"/>
      <w:b/>
      <w:kern w:val="2"/>
      <w:sz w:val="28"/>
      <w:szCs w:val="28"/>
    </w:rPr>
  </w:style>
  <w:style w:type="character" w:customStyle="1" w:styleId="440">
    <w:name w:val="c lh15"/>
    <w:autoRedefine/>
    <w:qFormat/>
    <w:uiPriority w:val="0"/>
  </w:style>
  <w:style w:type="character" w:customStyle="1" w:styleId="441">
    <w:name w:val="px14"/>
    <w:autoRedefine/>
    <w:qFormat/>
    <w:uiPriority w:val="0"/>
  </w:style>
  <w:style w:type="character" w:customStyle="1" w:styleId="442">
    <w:name w:val="标题2"/>
    <w:autoRedefine/>
    <w:qFormat/>
    <w:uiPriority w:val="0"/>
  </w:style>
  <w:style w:type="paragraph" w:customStyle="1" w:styleId="443">
    <w:name w:val="2册标题3"/>
    <w:basedOn w:val="1"/>
    <w:next w:val="1"/>
    <w:autoRedefine/>
    <w:qFormat/>
    <w:uiPriority w:val="0"/>
    <w:pPr>
      <w:widowControl w:val="0"/>
      <w:shd w:val="clear" w:color="auto" w:fill="auto"/>
      <w:tabs>
        <w:tab w:val="clear" w:pos="426"/>
      </w:tabs>
      <w:adjustRightInd/>
      <w:snapToGrid/>
      <w:spacing w:beforeLines="50" w:afterLines="50" w:line="240" w:lineRule="auto"/>
      <w:ind w:left="100" w:leftChars="100"/>
      <w:outlineLvl w:val="2"/>
    </w:pPr>
    <w:rPr>
      <w:rFonts w:ascii="Arial" w:hAnsi="Arial" w:eastAsia="黑体" w:cs="Times New Roman"/>
      <w:kern w:val="2"/>
      <w:sz w:val="28"/>
      <w:szCs w:val="20"/>
    </w:rPr>
  </w:style>
  <w:style w:type="paragraph" w:customStyle="1" w:styleId="444">
    <w:name w:val="2册标题5"/>
    <w:basedOn w:val="445"/>
    <w:next w:val="1"/>
    <w:autoRedefine/>
    <w:qFormat/>
    <w:uiPriority w:val="0"/>
    <w:pPr>
      <w:ind w:left="720" w:leftChars="300"/>
      <w:outlineLvl w:val="4"/>
    </w:pPr>
    <w:rPr>
      <w:rFonts w:eastAsia="楷体_GB2312"/>
      <w:b/>
    </w:rPr>
  </w:style>
  <w:style w:type="paragraph" w:customStyle="1" w:styleId="445">
    <w:name w:val="2册标题4"/>
    <w:basedOn w:val="1"/>
    <w:next w:val="1"/>
    <w:autoRedefine/>
    <w:qFormat/>
    <w:uiPriority w:val="0"/>
    <w:pPr>
      <w:widowControl w:val="0"/>
      <w:shd w:val="clear" w:color="auto" w:fill="auto"/>
      <w:tabs>
        <w:tab w:val="clear" w:pos="426"/>
      </w:tabs>
      <w:adjustRightInd/>
      <w:snapToGrid/>
      <w:spacing w:beforeLines="50" w:afterLines="50" w:line="240" w:lineRule="auto"/>
      <w:ind w:left="480" w:leftChars="200"/>
      <w:outlineLvl w:val="3"/>
    </w:pPr>
    <w:rPr>
      <w:rFonts w:ascii="Arial" w:hAnsi="Arial" w:eastAsia="黑体" w:cs="Times New Roman"/>
      <w:kern w:val="2"/>
      <w:sz w:val="24"/>
      <w:szCs w:val="20"/>
    </w:rPr>
  </w:style>
  <w:style w:type="paragraph" w:customStyle="1" w:styleId="446">
    <w:name w:val="xl44"/>
    <w:basedOn w:val="1"/>
    <w:autoRedefine/>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int="eastAsia" w:ascii="黑体" w:hAnsi="宋体" w:eastAsia="黑体" w:cs="Times New Roman"/>
      <w:sz w:val="26"/>
      <w:szCs w:val="20"/>
    </w:rPr>
  </w:style>
  <w:style w:type="paragraph" w:customStyle="1" w:styleId="447">
    <w:name w:val="xl34"/>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48">
    <w:name w:val="表图名"/>
    <w:basedOn w:val="1"/>
    <w:autoRedefine/>
    <w:qFormat/>
    <w:uiPriority w:val="0"/>
    <w:pPr>
      <w:widowControl w:val="0"/>
      <w:shd w:val="clear" w:color="auto" w:fill="auto"/>
      <w:tabs>
        <w:tab w:val="clear" w:pos="426"/>
      </w:tabs>
      <w:adjustRightInd/>
      <w:snapToGrid/>
    </w:pPr>
    <w:rPr>
      <w:rFonts w:ascii="Arial" w:hAnsi="Arial" w:cs="Times New Roman"/>
      <w:kern w:val="2"/>
      <w:sz w:val="24"/>
      <w:szCs w:val="20"/>
    </w:rPr>
  </w:style>
  <w:style w:type="paragraph" w:customStyle="1" w:styleId="449">
    <w:name w:val="xl40"/>
    <w:basedOn w:val="1"/>
    <w:autoRedefine/>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50">
    <w:name w:val="第12册用标题"/>
    <w:basedOn w:val="1"/>
    <w:next w:val="1"/>
    <w:autoRedefine/>
    <w:qFormat/>
    <w:uiPriority w:val="0"/>
    <w:pPr>
      <w:widowControl w:val="0"/>
      <w:shd w:val="clear" w:color="auto" w:fill="auto"/>
      <w:tabs>
        <w:tab w:val="clear" w:pos="426"/>
      </w:tabs>
      <w:adjustRightInd/>
      <w:snapToGrid/>
      <w:spacing w:beforeLines="50" w:afterLines="50" w:line="240" w:lineRule="auto"/>
      <w:jc w:val="center"/>
      <w:outlineLvl w:val="0"/>
    </w:pPr>
    <w:rPr>
      <w:rFonts w:ascii="Arial" w:hAnsi="Arial" w:eastAsia="黑体" w:cs="Times New Roman"/>
      <w:kern w:val="2"/>
      <w:sz w:val="44"/>
      <w:szCs w:val="20"/>
    </w:rPr>
  </w:style>
  <w:style w:type="paragraph" w:customStyle="1" w:styleId="451">
    <w:name w:val="xl27"/>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0"/>
      <w:szCs w:val="20"/>
    </w:rPr>
  </w:style>
  <w:style w:type="paragraph" w:customStyle="1" w:styleId="452">
    <w:name w:val="xl43"/>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53">
    <w:name w:val="xl29"/>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54">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55">
    <w:name w:val="样式 ˎ̥ 左 首行缩进:  2 字符"/>
    <w:basedOn w:val="1"/>
    <w:autoRedefine/>
    <w:qFormat/>
    <w:uiPriority w:val="0"/>
    <w:pPr>
      <w:widowControl w:val="0"/>
      <w:shd w:val="clear" w:color="auto" w:fill="auto"/>
      <w:tabs>
        <w:tab w:val="clear" w:pos="426"/>
      </w:tabs>
      <w:adjustRightInd/>
      <w:snapToGrid/>
      <w:ind w:firstLine="480" w:firstLineChars="200"/>
      <w:jc w:val="left"/>
    </w:pPr>
    <w:rPr>
      <w:rFonts w:ascii="ˎ̥" w:hAnsi="ˎ̥" w:cs="Times New Roman"/>
      <w:sz w:val="24"/>
      <w:szCs w:val="20"/>
    </w:rPr>
  </w:style>
  <w:style w:type="paragraph" w:customStyle="1" w:styleId="456">
    <w:name w:val="xl42"/>
    <w:basedOn w:val="1"/>
    <w:autoRedefine/>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457">
    <w:name w:val="12册标题"/>
    <w:basedOn w:val="1"/>
    <w:next w:val="1"/>
    <w:qFormat/>
    <w:uiPriority w:val="0"/>
    <w:pPr>
      <w:widowControl w:val="0"/>
      <w:shd w:val="clear" w:color="auto" w:fill="auto"/>
      <w:tabs>
        <w:tab w:val="clear" w:pos="426"/>
      </w:tabs>
      <w:adjustRightInd/>
      <w:snapToGrid/>
      <w:spacing w:beforeLines="50" w:afterLines="50" w:line="240" w:lineRule="auto"/>
      <w:jc w:val="center"/>
      <w:outlineLvl w:val="0"/>
    </w:pPr>
    <w:rPr>
      <w:rFonts w:ascii="Arial" w:hAnsi="Arial" w:eastAsia="黑体" w:cs="Times New Roman"/>
      <w:kern w:val="2"/>
      <w:sz w:val="44"/>
      <w:szCs w:val="20"/>
    </w:rPr>
  </w:style>
  <w:style w:type="paragraph" w:customStyle="1" w:styleId="458">
    <w:name w:val="xl39"/>
    <w:basedOn w:val="1"/>
    <w:autoRedefine/>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59">
    <w:name w:val="xl45"/>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int="eastAsia" w:ascii="黑体" w:hAnsi="宋体" w:eastAsia="黑体" w:cs="Times New Roman"/>
      <w:sz w:val="26"/>
      <w:szCs w:val="20"/>
    </w:rPr>
  </w:style>
  <w:style w:type="paragraph" w:customStyle="1" w:styleId="460">
    <w:name w:val="LED标题1"/>
    <w:basedOn w:val="1"/>
    <w:next w:val="1"/>
    <w:autoRedefine/>
    <w:qFormat/>
    <w:uiPriority w:val="0"/>
    <w:pPr>
      <w:widowControl w:val="0"/>
      <w:shd w:val="clear" w:color="auto" w:fill="auto"/>
      <w:tabs>
        <w:tab w:val="clear" w:pos="426"/>
      </w:tabs>
      <w:adjustRightInd/>
      <w:snapToGrid/>
      <w:spacing w:beforeLines="50" w:afterLines="50" w:line="240" w:lineRule="auto"/>
      <w:ind w:firstLine="320" w:firstLineChars="100"/>
      <w:jc w:val="center"/>
      <w:outlineLvl w:val="0"/>
    </w:pPr>
    <w:rPr>
      <w:rFonts w:ascii="Arial" w:hAnsi="Arial" w:eastAsia="黑体" w:cs="Times New Roman"/>
      <w:color w:val="FF0000"/>
      <w:kern w:val="2"/>
      <w:sz w:val="32"/>
      <w:szCs w:val="20"/>
    </w:rPr>
  </w:style>
  <w:style w:type="paragraph" w:customStyle="1" w:styleId="461">
    <w:name w:val="xl30"/>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62">
    <w:name w:val="2册标题1"/>
    <w:basedOn w:val="1"/>
    <w:next w:val="1"/>
    <w:autoRedefine/>
    <w:qFormat/>
    <w:uiPriority w:val="0"/>
    <w:pPr>
      <w:widowControl w:val="0"/>
      <w:shd w:val="clear" w:color="auto" w:fill="auto"/>
      <w:tabs>
        <w:tab w:val="clear" w:pos="426"/>
      </w:tabs>
      <w:adjustRightInd/>
      <w:snapToGrid/>
      <w:spacing w:beforeLines="50" w:afterLines="50" w:line="240" w:lineRule="auto"/>
      <w:jc w:val="center"/>
      <w:outlineLvl w:val="0"/>
    </w:pPr>
    <w:rPr>
      <w:rFonts w:ascii="Arial" w:hAnsi="Arial" w:eastAsia="黑体" w:cs="Times New Roman"/>
      <w:kern w:val="2"/>
      <w:sz w:val="32"/>
      <w:szCs w:val="20"/>
    </w:rPr>
  </w:style>
  <w:style w:type="paragraph" w:customStyle="1" w:styleId="463">
    <w:name w:val="xl37"/>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ascii="Verdana" w:hAnsi="Verdana" w:cs="Times New Roman"/>
      <w:sz w:val="24"/>
      <w:szCs w:val="20"/>
    </w:rPr>
  </w:style>
  <w:style w:type="paragraph" w:customStyle="1" w:styleId="464">
    <w:name w:val="xl41"/>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465">
    <w:name w:val="xl46"/>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66">
    <w:name w:val="1册标题3"/>
    <w:basedOn w:val="1"/>
    <w:next w:val="1"/>
    <w:autoRedefine/>
    <w:qFormat/>
    <w:uiPriority w:val="0"/>
    <w:pPr>
      <w:keepNext/>
      <w:keepLines/>
      <w:widowControl w:val="0"/>
      <w:shd w:val="clear" w:color="auto" w:fill="auto"/>
      <w:tabs>
        <w:tab w:val="clear" w:pos="426"/>
      </w:tabs>
      <w:snapToGrid/>
      <w:spacing w:beforeLines="50" w:afterLines="50" w:line="240" w:lineRule="auto"/>
      <w:textAlignment w:val="baseline"/>
      <w:outlineLvl w:val="2"/>
    </w:pPr>
    <w:rPr>
      <w:rFonts w:hAnsi="宋体" w:cs="Times New Roman"/>
      <w:b/>
      <w:sz w:val="24"/>
      <w:szCs w:val="20"/>
    </w:rPr>
  </w:style>
  <w:style w:type="paragraph" w:customStyle="1" w:styleId="467">
    <w:name w:val="xl31"/>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68">
    <w:name w:val="xl26"/>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18"/>
      <w:szCs w:val="20"/>
    </w:rPr>
  </w:style>
  <w:style w:type="paragraph" w:customStyle="1" w:styleId="469">
    <w:name w:val="xl38"/>
    <w:basedOn w:val="1"/>
    <w:autoRedefine/>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70">
    <w:name w:val="xl36"/>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int="eastAsia" w:ascii="仿宋_GB2312" w:hAnsi="宋体" w:eastAsia="仿宋_GB2312" w:cs="Times New Roman"/>
      <w:sz w:val="20"/>
      <w:szCs w:val="20"/>
    </w:rPr>
  </w:style>
  <w:style w:type="paragraph" w:customStyle="1" w:styleId="471">
    <w:name w:val="xl35"/>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int="eastAsia" w:ascii="仿宋_GB2312" w:hAnsi="宋体" w:eastAsia="仿宋_GB2312" w:cs="Times New Roman"/>
      <w:sz w:val="24"/>
      <w:szCs w:val="20"/>
    </w:rPr>
  </w:style>
  <w:style w:type="paragraph" w:customStyle="1" w:styleId="472">
    <w:name w:val="Char2 Char Char Char Char Char Char"/>
    <w:basedOn w:val="1"/>
    <w:qFormat/>
    <w:uiPriority w:val="0"/>
    <w:pPr>
      <w:widowControl w:val="0"/>
      <w:shd w:val="clear" w:color="auto" w:fill="auto"/>
      <w:tabs>
        <w:tab w:val="clear" w:pos="426"/>
      </w:tabs>
      <w:snapToGrid/>
    </w:pPr>
    <w:rPr>
      <w:rFonts w:ascii="Times New Roman" w:cs="Times New Roman"/>
      <w:sz w:val="24"/>
      <w:szCs w:val="20"/>
    </w:rPr>
  </w:style>
  <w:style w:type="paragraph" w:customStyle="1" w:styleId="473">
    <w:name w:val="1册标题1"/>
    <w:basedOn w:val="1"/>
    <w:next w:val="1"/>
    <w:autoRedefine/>
    <w:qFormat/>
    <w:uiPriority w:val="0"/>
    <w:pPr>
      <w:widowControl w:val="0"/>
      <w:shd w:val="clear" w:color="auto" w:fill="auto"/>
      <w:tabs>
        <w:tab w:val="clear" w:pos="426"/>
      </w:tabs>
      <w:adjustRightInd/>
      <w:snapToGrid/>
      <w:spacing w:beforeLines="50" w:afterLines="50" w:line="240" w:lineRule="auto"/>
      <w:jc w:val="center"/>
      <w:outlineLvl w:val="0"/>
    </w:pPr>
    <w:rPr>
      <w:rFonts w:hAnsi="宋体" w:cs="Times New Roman"/>
      <w:b/>
      <w:kern w:val="2"/>
      <w:sz w:val="36"/>
      <w:szCs w:val="20"/>
    </w:rPr>
  </w:style>
  <w:style w:type="paragraph" w:customStyle="1" w:styleId="474">
    <w:name w:val="xl33"/>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75">
    <w:name w:val="xl28"/>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76">
    <w:name w:val="1册标题2"/>
    <w:basedOn w:val="4"/>
    <w:next w:val="1"/>
    <w:autoRedefine/>
    <w:qFormat/>
    <w:uiPriority w:val="0"/>
    <w:pPr>
      <w:keepNext w:val="0"/>
      <w:keepLines w:val="0"/>
      <w:tabs>
        <w:tab w:val="clear" w:pos="426"/>
      </w:tabs>
      <w:spacing w:before="0" w:after="0" w:line="312" w:lineRule="auto"/>
      <w:jc w:val="center"/>
      <w:textAlignment w:val="auto"/>
      <w:outlineLvl w:val="9"/>
    </w:pPr>
    <w:rPr>
      <w:rFonts w:hAnsi="宋体"/>
      <w:b/>
      <w:kern w:val="2"/>
      <w:sz w:val="32"/>
    </w:rPr>
  </w:style>
  <w:style w:type="paragraph" w:customStyle="1" w:styleId="477">
    <w:name w:val="文字"/>
    <w:basedOn w:val="1"/>
    <w:autoRedefine/>
    <w:qFormat/>
    <w:uiPriority w:val="0"/>
    <w:pPr>
      <w:widowControl w:val="0"/>
      <w:shd w:val="clear" w:color="auto" w:fill="auto"/>
      <w:tabs>
        <w:tab w:val="left" w:pos="8520"/>
        <w:tab w:val="clear" w:pos="426"/>
      </w:tabs>
      <w:adjustRightInd/>
      <w:snapToGrid/>
      <w:spacing w:line="312" w:lineRule="auto"/>
      <w:ind w:right="-210" w:firstLine="556"/>
    </w:pPr>
    <w:rPr>
      <w:rFonts w:cs="Times New Roman"/>
      <w:kern w:val="2"/>
      <w:sz w:val="28"/>
      <w:szCs w:val="20"/>
    </w:rPr>
  </w:style>
  <w:style w:type="paragraph" w:customStyle="1" w:styleId="478">
    <w:name w:val="正文 2"/>
    <w:basedOn w:val="1"/>
    <w:autoRedefine/>
    <w:qFormat/>
    <w:uiPriority w:val="0"/>
    <w:pPr>
      <w:widowControl w:val="0"/>
      <w:shd w:val="clear" w:color="auto" w:fill="auto"/>
      <w:tabs>
        <w:tab w:val="clear" w:pos="426"/>
      </w:tabs>
      <w:autoSpaceDE w:val="0"/>
      <w:autoSpaceDN w:val="0"/>
      <w:spacing w:before="80" w:after="40"/>
      <w:ind w:left="1134"/>
      <w:jc w:val="left"/>
    </w:pPr>
    <w:rPr>
      <w:rFonts w:ascii="Times New Roman" w:cs="Times New Roman"/>
      <w:sz w:val="24"/>
      <w:szCs w:val="20"/>
    </w:rPr>
  </w:style>
  <w:style w:type="character" w:customStyle="1" w:styleId="479">
    <w:name w:val="h9point1"/>
    <w:autoRedefine/>
    <w:qFormat/>
    <w:uiPriority w:val="0"/>
    <w:rPr>
      <w:rFonts w:hint="eastAsia" w:ascii="宋体" w:hAnsi="宋体" w:eastAsia="宋体"/>
      <w:spacing w:val="360"/>
      <w:sz w:val="18"/>
      <w:szCs w:val="18"/>
    </w:rPr>
  </w:style>
  <w:style w:type="paragraph" w:customStyle="1" w:styleId="480">
    <w:name w:val="contentlabel"/>
    <w:basedOn w:val="1"/>
    <w:autoRedefine/>
    <w:qFormat/>
    <w:uiPriority w:val="0"/>
    <w:pPr>
      <w:shd w:val="clear" w:color="auto" w:fill="auto"/>
      <w:tabs>
        <w:tab w:val="clear" w:pos="426"/>
      </w:tabs>
      <w:adjustRightInd/>
      <w:snapToGrid/>
      <w:spacing w:before="32" w:after="100" w:afterAutospacing="1" w:line="240" w:lineRule="auto"/>
      <w:ind w:left="96"/>
      <w:jc w:val="left"/>
    </w:pPr>
    <w:rPr>
      <w:rFonts w:hAnsi="宋体"/>
      <w:color w:val="336666"/>
      <w:sz w:val="19"/>
      <w:szCs w:val="19"/>
    </w:rPr>
  </w:style>
  <w:style w:type="paragraph" w:customStyle="1" w:styleId="481">
    <w:name w:val="Char Char1 Char Char Char Char Char Char Char Char Char Char Char Char Char Char Char"/>
    <w:basedOn w:val="1"/>
    <w:autoRedefine/>
    <w:qFormat/>
    <w:uiPriority w:val="0"/>
    <w:pPr>
      <w:shd w:val="clear" w:color="auto" w:fill="auto"/>
      <w:tabs>
        <w:tab w:val="clear" w:pos="426"/>
      </w:tabs>
      <w:adjustRightInd/>
      <w:snapToGrid/>
      <w:spacing w:after="160" w:line="240" w:lineRule="exact"/>
      <w:jc w:val="left"/>
    </w:pPr>
    <w:rPr>
      <w:rFonts w:ascii="Verdana" w:hAnsi="Verdana" w:cs="Verdana"/>
      <w:sz w:val="20"/>
      <w:szCs w:val="20"/>
      <w:lang w:eastAsia="en-US"/>
    </w:rPr>
  </w:style>
  <w:style w:type="paragraph" w:customStyle="1" w:styleId="482">
    <w:name w:val="33"/>
    <w:basedOn w:val="1"/>
    <w:next w:val="42"/>
    <w:link w:val="483"/>
    <w:autoRedefine/>
    <w:qFormat/>
    <w:uiPriority w:val="0"/>
    <w:pPr>
      <w:widowControl w:val="0"/>
      <w:shd w:val="clear" w:color="auto" w:fill="auto"/>
      <w:tabs>
        <w:tab w:val="clear" w:pos="426"/>
      </w:tabs>
      <w:adjustRightInd/>
      <w:snapToGrid/>
      <w:spacing w:before="120" w:after="120" w:line="500" w:lineRule="exact"/>
      <w:ind w:firstLine="551" w:firstLineChars="196"/>
    </w:pPr>
    <w:rPr>
      <w:rFonts w:ascii="幼圆" w:eastAsia="幼圆" w:cs="Times New Roman"/>
      <w:b/>
      <w:bCs/>
      <w:kern w:val="2"/>
      <w:sz w:val="28"/>
      <w:szCs w:val="28"/>
    </w:rPr>
  </w:style>
  <w:style w:type="character" w:customStyle="1" w:styleId="483">
    <w:name w:val="33 Char"/>
    <w:link w:val="482"/>
    <w:autoRedefine/>
    <w:qFormat/>
    <w:uiPriority w:val="0"/>
    <w:rPr>
      <w:rFonts w:ascii="幼圆" w:eastAsia="幼圆"/>
      <w:b/>
      <w:bCs/>
      <w:kern w:val="2"/>
      <w:sz w:val="28"/>
      <w:szCs w:val="28"/>
    </w:rPr>
  </w:style>
  <w:style w:type="paragraph" w:customStyle="1" w:styleId="484">
    <w:name w:val="样式 样式 首行缩进:  2 字符 + 首行缩进:  2 字符"/>
    <w:basedOn w:val="485"/>
    <w:autoRedefine/>
    <w:qFormat/>
    <w:uiPriority w:val="0"/>
    <w:pPr>
      <w:ind w:firstLine="560"/>
    </w:pPr>
    <w:rPr>
      <w:sz w:val="24"/>
    </w:rPr>
  </w:style>
  <w:style w:type="paragraph" w:customStyle="1" w:styleId="485">
    <w:name w:val="样式 首行缩进:  2 字符"/>
    <w:basedOn w:val="1"/>
    <w:autoRedefine/>
    <w:qFormat/>
    <w:uiPriority w:val="0"/>
    <w:pPr>
      <w:widowControl w:val="0"/>
      <w:shd w:val="clear" w:color="auto" w:fill="auto"/>
      <w:tabs>
        <w:tab w:val="clear" w:pos="426"/>
      </w:tabs>
      <w:adjustRightInd/>
      <w:snapToGrid/>
      <w:spacing w:line="300" w:lineRule="auto"/>
      <w:ind w:firstLine="200" w:firstLineChars="200"/>
    </w:pPr>
    <w:rPr>
      <w:rFonts w:ascii="Times New Roman"/>
      <w:kern w:val="2"/>
      <w:sz w:val="28"/>
      <w:szCs w:val="20"/>
    </w:rPr>
  </w:style>
  <w:style w:type="paragraph" w:customStyle="1" w:styleId="486">
    <w:name w:val="xl47"/>
    <w:basedOn w:val="1"/>
    <w:autoRedefine/>
    <w:qFormat/>
    <w:uiPriority w:val="0"/>
    <w:pPr>
      <w:pBdr>
        <w:top w:val="single" w:color="auto" w:sz="4" w:space="0"/>
        <w:left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87">
    <w:name w:val="xl48"/>
    <w:basedOn w:val="1"/>
    <w:autoRedefine/>
    <w:qFormat/>
    <w:uiPriority w:val="0"/>
    <w:pPr>
      <w:pBdr>
        <w:top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88">
    <w:name w:val="xl49"/>
    <w:basedOn w:val="1"/>
    <w:autoRedefine/>
    <w:qFormat/>
    <w:uiPriority w:val="0"/>
    <w:pPr>
      <w:pBdr>
        <w:top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89">
    <w:name w:val="xl50"/>
    <w:basedOn w:val="1"/>
    <w:autoRedefine/>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490">
    <w:name w:val="xl51"/>
    <w:basedOn w:val="1"/>
    <w:autoRedefine/>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center"/>
    </w:pPr>
    <w:rPr>
      <w:rFonts w:hAnsi="宋体"/>
      <w:b/>
      <w:bCs/>
      <w:sz w:val="18"/>
      <w:szCs w:val="18"/>
    </w:rPr>
  </w:style>
  <w:style w:type="paragraph" w:customStyle="1" w:styleId="491">
    <w:name w:val="xl52"/>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right"/>
    </w:pPr>
    <w:rPr>
      <w:rFonts w:hAnsi="宋体"/>
      <w:sz w:val="18"/>
      <w:szCs w:val="18"/>
    </w:rPr>
  </w:style>
  <w:style w:type="paragraph" w:customStyle="1" w:styleId="492">
    <w:name w:val="xl53"/>
    <w:basedOn w:val="1"/>
    <w:autoRedefine/>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493">
    <w:name w:val="xl54"/>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494">
    <w:name w:val="xl55"/>
    <w:basedOn w:val="1"/>
    <w:autoRedefine/>
    <w:qFormat/>
    <w:uiPriority w:val="0"/>
    <w:pPr>
      <w:pBdr>
        <w:top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495">
    <w:name w:val="xl56"/>
    <w:basedOn w:val="1"/>
    <w:autoRedefine/>
    <w:qFormat/>
    <w:uiPriority w:val="0"/>
    <w:pPr>
      <w:pBdr>
        <w:top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96">
    <w:name w:val="xl57"/>
    <w:basedOn w:val="1"/>
    <w:autoRedefine/>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497">
    <w:name w:val="xl58"/>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498">
    <w:name w:val="xl59"/>
    <w:basedOn w:val="1"/>
    <w:autoRedefine/>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99">
    <w:name w:val="xl60"/>
    <w:basedOn w:val="1"/>
    <w:autoRedefine/>
    <w:qFormat/>
    <w:uiPriority w:val="0"/>
    <w:pPr>
      <w:pBdr>
        <w:top w:val="single" w:color="auto" w:sz="4" w:space="0"/>
        <w:left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500">
    <w:name w:val="xl61"/>
    <w:basedOn w:val="1"/>
    <w:autoRedefine/>
    <w:qFormat/>
    <w:uiPriority w:val="0"/>
    <w:pPr>
      <w:pBdr>
        <w:top w:val="single" w:color="auto" w:sz="4" w:space="0"/>
        <w:left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501">
    <w:name w:val="xl62"/>
    <w:basedOn w:val="1"/>
    <w:autoRedefine/>
    <w:qFormat/>
    <w:uiPriority w:val="0"/>
    <w:pPr>
      <w:pBdr>
        <w:top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502">
    <w:name w:val="xl63"/>
    <w:basedOn w:val="1"/>
    <w:autoRedefine/>
    <w:qFormat/>
    <w:uiPriority w:val="0"/>
    <w:pPr>
      <w:pBdr>
        <w:top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503">
    <w:name w:val="样式 段后: 0.25 行"/>
    <w:basedOn w:val="1"/>
    <w:autoRedefine/>
    <w:qFormat/>
    <w:uiPriority w:val="0"/>
    <w:pPr>
      <w:widowControl w:val="0"/>
      <w:shd w:val="clear" w:color="auto" w:fill="auto"/>
      <w:tabs>
        <w:tab w:val="clear" w:pos="426"/>
      </w:tabs>
      <w:adjustRightInd/>
      <w:snapToGrid/>
      <w:spacing w:afterLines="25" w:line="300" w:lineRule="auto"/>
      <w:ind w:firstLine="420" w:firstLineChars="200"/>
    </w:pPr>
    <w:rPr>
      <w:rFonts w:ascii="Arial" w:hAnsi="Arial"/>
      <w:kern w:val="2"/>
      <w:szCs w:val="20"/>
    </w:rPr>
  </w:style>
  <w:style w:type="paragraph" w:customStyle="1" w:styleId="504">
    <w:name w:val="默认段落字体 Para Char Char Char Char Char Char Char Char Char Char"/>
    <w:basedOn w:val="1"/>
    <w:autoRedefine/>
    <w:qFormat/>
    <w:uiPriority w:val="0"/>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paragraph" w:customStyle="1" w:styleId="505">
    <w:name w:val="默认段落字体 Para Char Char Char Char Char Char Char"/>
    <w:basedOn w:val="1"/>
    <w:autoRedefine/>
    <w:qFormat/>
    <w:uiPriority w:val="0"/>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character" w:customStyle="1" w:styleId="506">
    <w:name w:val="H6 Char"/>
    <w:autoRedefine/>
    <w:qFormat/>
    <w:uiPriority w:val="0"/>
    <w:rPr>
      <w:rFonts w:ascii="Arial" w:hAnsi="Arial" w:eastAsia="黑体"/>
      <w:b/>
      <w:kern w:val="2"/>
      <w:sz w:val="24"/>
    </w:rPr>
  </w:style>
  <w:style w:type="character" w:customStyle="1" w:styleId="507">
    <w:name w:val="L7 Char Char"/>
    <w:autoRedefine/>
    <w:qFormat/>
    <w:uiPriority w:val="0"/>
    <w:rPr>
      <w:b/>
      <w:kern w:val="2"/>
      <w:sz w:val="24"/>
    </w:rPr>
  </w:style>
  <w:style w:type="character" w:customStyle="1" w:styleId="508">
    <w:name w:val="Char Char17"/>
    <w:autoRedefine/>
    <w:qFormat/>
    <w:uiPriority w:val="0"/>
    <w:rPr>
      <w:rFonts w:ascii="Arial" w:hAnsi="Arial" w:eastAsia="黑体"/>
      <w:kern w:val="2"/>
      <w:sz w:val="24"/>
    </w:rPr>
  </w:style>
  <w:style w:type="character" w:customStyle="1" w:styleId="509">
    <w:name w:val="Char Char16"/>
    <w:autoRedefine/>
    <w:qFormat/>
    <w:uiPriority w:val="0"/>
    <w:rPr>
      <w:rFonts w:ascii="Arial" w:hAnsi="Arial" w:eastAsia="黑体"/>
      <w:kern w:val="2"/>
      <w:sz w:val="21"/>
    </w:rPr>
  </w:style>
  <w:style w:type="character" w:customStyle="1" w:styleId="510">
    <w:name w:val="HTML 预设格式 Char1"/>
    <w:autoRedefine/>
    <w:semiHidden/>
    <w:qFormat/>
    <w:uiPriority w:val="0"/>
    <w:rPr>
      <w:rFonts w:ascii="Courier New" w:hAnsi="Courier New" w:cs="Courier New"/>
      <w:kern w:val="2"/>
    </w:rPr>
  </w:style>
  <w:style w:type="character" w:customStyle="1" w:styleId="511">
    <w:name w:val="Char Char14"/>
    <w:autoRedefine/>
    <w:qFormat/>
    <w:uiPriority w:val="0"/>
    <w:rPr>
      <w:rFonts w:ascii="华康简标题宋" w:eastAsia="华康简标题宋"/>
      <w:kern w:val="2"/>
      <w:sz w:val="52"/>
    </w:rPr>
  </w:style>
  <w:style w:type="character" w:customStyle="1" w:styleId="512">
    <w:name w:val="h Char"/>
    <w:autoRedefine/>
    <w:qFormat/>
    <w:uiPriority w:val="0"/>
    <w:rPr>
      <w:rFonts w:ascii="宋体"/>
      <w:sz w:val="18"/>
    </w:rPr>
  </w:style>
  <w:style w:type="paragraph" w:customStyle="1" w:styleId="513">
    <w:name w:val="正式"/>
    <w:basedOn w:val="1"/>
    <w:autoRedefine/>
    <w:qFormat/>
    <w:uiPriority w:val="0"/>
    <w:pPr>
      <w:widowControl w:val="0"/>
      <w:shd w:val="clear" w:color="auto" w:fill="auto"/>
      <w:tabs>
        <w:tab w:val="clear" w:pos="426"/>
      </w:tabs>
      <w:adjustRightInd/>
      <w:snapToGrid/>
      <w:ind w:firstLine="560"/>
    </w:pPr>
    <w:rPr>
      <w:rFonts w:hAnsi="宋体" w:cs="Times New Roman"/>
      <w:kern w:val="2"/>
      <w:sz w:val="28"/>
    </w:rPr>
  </w:style>
  <w:style w:type="paragraph" w:customStyle="1" w:styleId="514">
    <w:name w:val="样式 样式 (西文) 宋体 四号 行距: 1.5 倍行距 + 首行缩进:  2 字符"/>
    <w:basedOn w:val="1"/>
    <w:autoRedefine/>
    <w:qFormat/>
    <w:uiPriority w:val="0"/>
    <w:pPr>
      <w:widowControl w:val="0"/>
      <w:shd w:val="clear" w:color="auto" w:fill="auto"/>
      <w:tabs>
        <w:tab w:val="clear" w:pos="426"/>
      </w:tabs>
      <w:adjustRightInd/>
      <w:snapToGrid/>
      <w:ind w:firstLine="560" w:firstLineChars="200"/>
    </w:pPr>
    <w:rPr>
      <w:rFonts w:hAnsi="宋体"/>
      <w:kern w:val="2"/>
      <w:sz w:val="28"/>
      <w:szCs w:val="20"/>
    </w:rPr>
  </w:style>
  <w:style w:type="character" w:customStyle="1" w:styleId="515">
    <w:name w:val="文件正文 Char Char Char"/>
    <w:autoRedefine/>
    <w:qFormat/>
    <w:uiPriority w:val="0"/>
    <w:rPr>
      <w:rFonts w:eastAsia="仿宋_GB2312"/>
      <w:kern w:val="2"/>
      <w:sz w:val="24"/>
    </w:rPr>
  </w:style>
  <w:style w:type="character" w:customStyle="1" w:styleId="516">
    <w:name w:val="33 Char Char"/>
    <w:autoRedefine/>
    <w:qFormat/>
    <w:uiPriority w:val="0"/>
    <w:rPr>
      <w:rFonts w:ascii="幼圆" w:eastAsia="幼圆"/>
      <w:b/>
      <w:bCs/>
      <w:sz w:val="28"/>
      <w:szCs w:val="28"/>
    </w:rPr>
  </w:style>
  <w:style w:type="character" w:customStyle="1" w:styleId="517">
    <w:name w:val="表格 Char Char"/>
    <w:link w:val="518"/>
    <w:autoRedefine/>
    <w:qFormat/>
    <w:uiPriority w:val="0"/>
    <w:rPr>
      <w:rFonts w:ascii="宋体" w:hAnsi="宋体"/>
    </w:rPr>
  </w:style>
  <w:style w:type="paragraph" w:customStyle="1" w:styleId="518">
    <w:name w:val="表格"/>
    <w:basedOn w:val="1"/>
    <w:link w:val="517"/>
    <w:autoRedefine/>
    <w:qFormat/>
    <w:uiPriority w:val="0"/>
    <w:pPr>
      <w:widowControl w:val="0"/>
      <w:shd w:val="clear" w:color="auto" w:fill="auto"/>
      <w:tabs>
        <w:tab w:val="clear" w:pos="426"/>
      </w:tabs>
      <w:adjustRightInd/>
      <w:spacing w:line="240" w:lineRule="auto"/>
      <w:ind w:firstLine="38"/>
      <w:jc w:val="center"/>
    </w:pPr>
    <w:rPr>
      <w:rFonts w:hAnsi="宋体" w:cs="Times New Roman"/>
      <w:sz w:val="20"/>
      <w:szCs w:val="20"/>
    </w:rPr>
  </w:style>
  <w:style w:type="character" w:customStyle="1" w:styleId="519">
    <w:name w:val="批注文字 Char1"/>
    <w:autoRedefine/>
    <w:qFormat/>
    <w:uiPriority w:val="99"/>
    <w:rPr>
      <w:rFonts w:ascii="Times New Roman" w:hAnsi="Times New Roman" w:eastAsia="宋体" w:cs="Times New Roman"/>
      <w:szCs w:val="24"/>
    </w:rPr>
  </w:style>
  <w:style w:type="character" w:customStyle="1" w:styleId="520">
    <w:name w:val="批注主题 Char1"/>
    <w:autoRedefine/>
    <w:semiHidden/>
    <w:qFormat/>
    <w:uiPriority w:val="0"/>
    <w:rPr>
      <w:rFonts w:ascii="Times New Roman" w:hAnsi="Times New Roman" w:eastAsia="宋体" w:cs="Times New Roman"/>
      <w:b/>
      <w:bCs/>
      <w:szCs w:val="24"/>
    </w:rPr>
  </w:style>
  <w:style w:type="character" w:customStyle="1" w:styleId="521">
    <w:name w:val="脚注文本 Char1"/>
    <w:autoRedefine/>
    <w:semiHidden/>
    <w:qFormat/>
    <w:uiPriority w:val="0"/>
    <w:rPr>
      <w:rFonts w:ascii="Times New Roman" w:hAnsi="Times New Roman" w:eastAsia="宋体" w:cs="Times New Roman"/>
      <w:sz w:val="18"/>
      <w:szCs w:val="18"/>
    </w:rPr>
  </w:style>
  <w:style w:type="character" w:customStyle="1" w:styleId="522">
    <w:name w:val="普通文字1 Char Char1"/>
    <w:autoRedefine/>
    <w:qFormat/>
    <w:uiPriority w:val="0"/>
    <w:rPr>
      <w:rFonts w:ascii="宋体" w:hAnsi="Courier New"/>
      <w:kern w:val="2"/>
      <w:sz w:val="21"/>
    </w:rPr>
  </w:style>
  <w:style w:type="character" w:customStyle="1" w:styleId="523">
    <w:name w:val="标题 Char1"/>
    <w:autoRedefine/>
    <w:qFormat/>
    <w:uiPriority w:val="0"/>
    <w:rPr>
      <w:rFonts w:ascii="Cambria" w:hAnsi="Cambria" w:eastAsia="宋体" w:cs="Times New Roman"/>
      <w:b/>
      <w:bCs/>
      <w:sz w:val="32"/>
      <w:szCs w:val="32"/>
    </w:rPr>
  </w:style>
  <w:style w:type="paragraph" w:customStyle="1" w:styleId="524">
    <w:name w:val="列表内容"/>
    <w:basedOn w:val="1"/>
    <w:next w:val="1"/>
    <w:autoRedefine/>
    <w:qFormat/>
    <w:uiPriority w:val="0"/>
    <w:pPr>
      <w:shd w:val="clear" w:color="auto" w:fill="auto"/>
      <w:tabs>
        <w:tab w:val="left" w:pos="907"/>
        <w:tab w:val="left" w:pos="1271"/>
        <w:tab w:val="clear" w:pos="426"/>
      </w:tabs>
      <w:adjustRightInd/>
      <w:snapToGrid/>
      <w:spacing w:line="240" w:lineRule="auto"/>
      <w:ind w:left="907" w:hanging="907"/>
      <w:jc w:val="left"/>
    </w:pPr>
    <w:rPr>
      <w:rFonts w:ascii="Times New Roman" w:cs="Times New Roman"/>
      <w:sz w:val="18"/>
    </w:rPr>
  </w:style>
  <w:style w:type="paragraph" w:customStyle="1" w:styleId="525">
    <w:name w:val="p16"/>
    <w:basedOn w:val="1"/>
    <w:autoRedefine/>
    <w:qFormat/>
    <w:uiPriority w:val="99"/>
    <w:pPr>
      <w:shd w:val="clear" w:color="auto" w:fill="auto"/>
      <w:tabs>
        <w:tab w:val="clear" w:pos="426"/>
      </w:tabs>
      <w:adjustRightInd/>
      <w:snapToGrid/>
      <w:spacing w:line="240" w:lineRule="auto"/>
      <w:ind w:firstLine="420"/>
    </w:pPr>
    <w:rPr>
      <w:rFonts w:ascii="Arial Unicode MS" w:hAnsi="Arial Unicode MS" w:eastAsia="Arial Unicode MS" w:cs="Arial Unicode MS"/>
      <w:sz w:val="32"/>
      <w:szCs w:val="32"/>
    </w:rPr>
  </w:style>
  <w:style w:type="character" w:customStyle="1" w:styleId="526">
    <w:name w:val="15"/>
    <w:autoRedefine/>
    <w:qFormat/>
    <w:uiPriority w:val="0"/>
    <w:rPr>
      <w:rFonts w:hint="default" w:ascii="Times New Roman" w:hAnsi="Times New Roman" w:cs="Times New Roman"/>
      <w:color w:val="0000FF"/>
      <w:u w:val="single"/>
    </w:rPr>
  </w:style>
  <w:style w:type="paragraph" w:customStyle="1" w:styleId="527">
    <w:name w:val="p15"/>
    <w:basedOn w:val="1"/>
    <w:autoRedefine/>
    <w:qFormat/>
    <w:uiPriority w:val="0"/>
    <w:pPr>
      <w:shd w:val="clear" w:color="auto" w:fill="auto"/>
      <w:tabs>
        <w:tab w:val="clear" w:pos="426"/>
      </w:tabs>
      <w:adjustRightInd/>
      <w:spacing w:line="240" w:lineRule="auto"/>
      <w:ind w:left="420" w:hanging="420"/>
    </w:pPr>
    <w:rPr>
      <w:rFonts w:hAnsi="宋体"/>
      <w:szCs w:val="21"/>
    </w:rPr>
  </w:style>
  <w:style w:type="paragraph" w:customStyle="1" w:styleId="528">
    <w:name w:val="xl23"/>
    <w:basedOn w:val="1"/>
    <w:autoRedefine/>
    <w:qFormat/>
    <w:uiPriority w:val="0"/>
    <w:pPr>
      <w:shd w:val="clear" w:color="auto" w:fill="auto"/>
      <w:tabs>
        <w:tab w:val="clear" w:pos="426"/>
      </w:tabs>
      <w:adjustRightInd/>
      <w:snapToGrid/>
      <w:spacing w:before="100" w:beforeAutospacing="1" w:after="100" w:afterAutospacing="1"/>
      <w:textAlignment w:val="top"/>
    </w:pPr>
    <w:rPr>
      <w:rFonts w:ascii="Times New Roman" w:cs="Times New Roman"/>
      <w:sz w:val="24"/>
    </w:rPr>
  </w:style>
  <w:style w:type="paragraph" w:customStyle="1" w:styleId="529">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0">
    <w:name w:val="样式1_0"/>
    <w:basedOn w:val="529"/>
    <w:autoRedefine/>
    <w:qFormat/>
    <w:uiPriority w:val="0"/>
    <w:pPr>
      <w:numPr>
        <w:ilvl w:val="0"/>
        <w:numId w:val="31"/>
      </w:numPr>
    </w:pPr>
    <w:rPr>
      <w:rFonts w:ascii="宋体" w:hAnsi="宋体"/>
      <w:szCs w:val="21"/>
    </w:rPr>
  </w:style>
  <w:style w:type="paragraph" w:customStyle="1" w:styleId="531">
    <w:name w:val="正文缩进_0"/>
    <w:basedOn w:val="529"/>
    <w:autoRedefine/>
    <w:qFormat/>
    <w:uiPriority w:val="0"/>
    <w:pPr>
      <w:ind w:firstLine="420"/>
    </w:pPr>
  </w:style>
  <w:style w:type="paragraph" w:customStyle="1" w:styleId="532">
    <w:name w:val="标题 2_1"/>
    <w:basedOn w:val="529"/>
    <w:next w:val="529"/>
    <w:autoRedefine/>
    <w:qFormat/>
    <w:uiPriority w:val="0"/>
    <w:pPr>
      <w:keepNext/>
      <w:keepLines/>
      <w:spacing w:before="260" w:after="260" w:line="412" w:lineRule="auto"/>
      <w:outlineLvl w:val="1"/>
    </w:pPr>
    <w:rPr>
      <w:rFonts w:ascii="Arial" w:hAnsi="Arial" w:eastAsia="黑体"/>
      <w:b/>
      <w:sz w:val="32"/>
    </w:rPr>
  </w:style>
  <w:style w:type="paragraph" w:customStyle="1" w:styleId="533">
    <w:name w:val="纯文本_1"/>
    <w:basedOn w:val="529"/>
    <w:autoRedefine/>
    <w:qFormat/>
    <w:uiPriority w:val="0"/>
    <w:rPr>
      <w:rFonts w:ascii="宋体"/>
      <w:szCs w:val="21"/>
    </w:rPr>
  </w:style>
  <w:style w:type="paragraph" w:customStyle="1" w:styleId="534">
    <w:name w:val="普通(网站)_0"/>
    <w:basedOn w:val="529"/>
    <w:autoRedefine/>
    <w:qFormat/>
    <w:uiPriority w:val="0"/>
    <w:pPr>
      <w:widowControl/>
      <w:spacing w:before="100" w:beforeAutospacing="1" w:after="100" w:afterAutospacing="1"/>
      <w:jc w:val="left"/>
    </w:pPr>
    <w:rPr>
      <w:rFonts w:ascii="宋体"/>
      <w:kern w:val="0"/>
      <w:sz w:val="24"/>
      <w:szCs w:val="24"/>
      <w:lang w:eastAsia="en-US"/>
    </w:rPr>
  </w:style>
  <w:style w:type="character" w:customStyle="1" w:styleId="535">
    <w:name w:val="Char Char15"/>
    <w:autoRedefine/>
    <w:qFormat/>
    <w:uiPriority w:val="0"/>
    <w:rPr>
      <w:rFonts w:ascii="宋体" w:hAnsi="宋体"/>
      <w:sz w:val="24"/>
    </w:rPr>
  </w:style>
  <w:style w:type="character" w:customStyle="1" w:styleId="536">
    <w:name w:val="Char Char13"/>
    <w:autoRedefine/>
    <w:qFormat/>
    <w:uiPriority w:val="0"/>
    <w:rPr>
      <w:rFonts w:ascii="宋体" w:hAnsi="宋体"/>
      <w:b/>
      <w:kern w:val="2"/>
      <w:sz w:val="21"/>
    </w:rPr>
  </w:style>
  <w:style w:type="character" w:customStyle="1" w:styleId="537">
    <w:name w:val="Char Char10"/>
    <w:autoRedefine/>
    <w:qFormat/>
    <w:uiPriority w:val="0"/>
    <w:rPr>
      <w:rFonts w:ascii="宋体"/>
      <w:sz w:val="28"/>
    </w:rPr>
  </w:style>
  <w:style w:type="character" w:customStyle="1" w:styleId="538">
    <w:name w:val="正文缩进2格 Char"/>
    <w:link w:val="539"/>
    <w:autoRedefine/>
    <w:qFormat/>
    <w:uiPriority w:val="0"/>
    <w:rPr>
      <w:rFonts w:ascii="仿宋_GB2312" w:hAnsi="宋体" w:eastAsia="仿宋_GB2312"/>
      <w:kern w:val="2"/>
      <w:sz w:val="31"/>
    </w:rPr>
  </w:style>
  <w:style w:type="paragraph" w:customStyle="1" w:styleId="539">
    <w:name w:val="正文缩进2格"/>
    <w:basedOn w:val="1"/>
    <w:link w:val="538"/>
    <w:autoRedefine/>
    <w:qFormat/>
    <w:uiPriority w:val="0"/>
    <w:pPr>
      <w:widowControl w:val="0"/>
      <w:shd w:val="clear" w:color="auto" w:fill="auto"/>
      <w:tabs>
        <w:tab w:val="clear" w:pos="426"/>
      </w:tabs>
      <w:adjustRightInd/>
      <w:snapToGrid/>
      <w:spacing w:line="600" w:lineRule="exact"/>
      <w:ind w:firstLine="639" w:firstLineChars="206"/>
    </w:pPr>
    <w:rPr>
      <w:rFonts w:ascii="仿宋_GB2312" w:hAnsi="宋体" w:eastAsia="仿宋_GB2312" w:cs="Times New Roman"/>
      <w:kern w:val="2"/>
      <w:sz w:val="31"/>
      <w:szCs w:val="20"/>
    </w:rPr>
  </w:style>
  <w:style w:type="character" w:customStyle="1" w:styleId="540">
    <w:name w:val="style5"/>
    <w:autoRedefine/>
    <w:qFormat/>
    <w:uiPriority w:val="0"/>
  </w:style>
  <w:style w:type="character" w:customStyle="1" w:styleId="541">
    <w:name w:val="样式 标题 3 + 小四 Char"/>
    <w:autoRedefine/>
    <w:qFormat/>
    <w:uiPriority w:val="0"/>
    <w:rPr>
      <w:rFonts w:ascii="宋体" w:hAnsi="宋体" w:eastAsia="宋体" w:cs="Arial"/>
      <w:b/>
      <w:bCs/>
      <w:smallCaps/>
      <w:kern w:val="2"/>
      <w:sz w:val="24"/>
      <w:szCs w:val="24"/>
      <w:lang w:val="en-US" w:eastAsia="zh-CN" w:bidi="ar-SA"/>
    </w:rPr>
  </w:style>
  <w:style w:type="paragraph" w:customStyle="1" w:styleId="542">
    <w:name w:val="font514155"/>
    <w:basedOn w:val="1"/>
    <w:autoRedefine/>
    <w:qFormat/>
    <w:uiPriority w:val="0"/>
    <w:pPr>
      <w:shd w:val="clear" w:color="auto" w:fill="auto"/>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543">
    <w:name w:val="xl7314155"/>
    <w:basedOn w:val="1"/>
    <w:autoRedefine/>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hAnsi="宋体"/>
      <w:sz w:val="20"/>
      <w:szCs w:val="20"/>
    </w:rPr>
  </w:style>
  <w:style w:type="character" w:customStyle="1" w:styleId="544">
    <w:name w:val="标题 1.1 Char1"/>
    <w:autoRedefine/>
    <w:qFormat/>
    <w:uiPriority w:val="0"/>
    <w:rPr>
      <w:rFonts w:ascii="Arial" w:hAnsi="Arial" w:eastAsia="黑体"/>
      <w:b/>
      <w:bCs/>
      <w:kern w:val="2"/>
      <w:sz w:val="32"/>
      <w:szCs w:val="32"/>
      <w:lang w:val="en-US" w:eastAsia="zh-CN" w:bidi="ar-SA"/>
    </w:rPr>
  </w:style>
  <w:style w:type="paragraph" w:customStyle="1" w:styleId="545">
    <w:name w:val="TOC 标题3"/>
    <w:basedOn w:val="2"/>
    <w:next w:val="1"/>
    <w:autoRedefine/>
    <w:qFormat/>
    <w:uiPriority w:val="0"/>
    <w:pPr>
      <w:keepNext/>
      <w:keepLines/>
      <w:widowControl/>
      <w:tabs>
        <w:tab w:val="clear" w:pos="426"/>
      </w:tabs>
      <w:spacing w:before="480" w:after="0" w:line="276" w:lineRule="auto"/>
      <w:jc w:val="left"/>
      <w:outlineLvl w:val="9"/>
    </w:pPr>
    <w:rPr>
      <w:rFonts w:ascii="Cambria" w:hAnsi="Cambria" w:eastAsia="宋体"/>
      <w:b/>
      <w:color w:val="365F91"/>
      <w:kern w:val="0"/>
    </w:rPr>
  </w:style>
  <w:style w:type="character" w:customStyle="1" w:styleId="546">
    <w:name w:val="标题 3.1 Char"/>
    <w:link w:val="547"/>
    <w:autoRedefine/>
    <w:qFormat/>
    <w:uiPriority w:val="0"/>
    <w:rPr>
      <w:rFonts w:ascii="宋体" w:hAnsi="宋体"/>
      <w:b/>
      <w:color w:val="FF0000"/>
      <w:kern w:val="2"/>
      <w:sz w:val="32"/>
    </w:rPr>
  </w:style>
  <w:style w:type="paragraph" w:customStyle="1" w:styleId="547">
    <w:name w:val="标题 3.1"/>
    <w:basedOn w:val="3"/>
    <w:link w:val="546"/>
    <w:autoRedefine/>
    <w:qFormat/>
    <w:uiPriority w:val="0"/>
    <w:pPr>
      <w:tabs>
        <w:tab w:val="left" w:pos="1440"/>
        <w:tab w:val="left" w:pos="1620"/>
      </w:tabs>
      <w:spacing w:line="600" w:lineRule="exact"/>
    </w:pPr>
    <w:rPr>
      <w:rFonts w:hAnsi="宋体"/>
      <w:b/>
      <w:bCs w:val="0"/>
      <w:color w:val="FF0000"/>
      <w:sz w:val="32"/>
      <w:szCs w:val="20"/>
    </w:rPr>
  </w:style>
  <w:style w:type="character" w:customStyle="1" w:styleId="548">
    <w:name w:val="文件正文 Char"/>
    <w:autoRedefine/>
    <w:qFormat/>
    <w:uiPriority w:val="0"/>
    <w:rPr>
      <w:rFonts w:eastAsia="仿宋_GB2312"/>
      <w:kern w:val="2"/>
      <w:sz w:val="24"/>
    </w:rPr>
  </w:style>
  <w:style w:type="paragraph" w:customStyle="1" w:styleId="549">
    <w:name w:val="Char Char1"/>
    <w:basedOn w:val="1"/>
    <w:autoRedefine/>
    <w:qFormat/>
    <w:uiPriority w:val="0"/>
    <w:pPr>
      <w:shd w:val="clear" w:color="auto" w:fill="auto"/>
      <w:tabs>
        <w:tab w:val="clear" w:pos="426"/>
      </w:tabs>
      <w:adjustRightInd/>
      <w:snapToGrid/>
      <w:spacing w:after="160" w:line="240" w:lineRule="exact"/>
      <w:jc w:val="left"/>
    </w:pPr>
    <w:rPr>
      <w:rFonts w:ascii="Arial" w:hAnsi="Arial" w:cs="Times New Roman"/>
      <w:sz w:val="20"/>
      <w:szCs w:val="20"/>
      <w:lang w:val="nl-NL" w:eastAsia="en-GB"/>
    </w:rPr>
  </w:style>
  <w:style w:type="paragraph" w:customStyle="1" w:styleId="550">
    <w:name w:val="Char Char Char Char Char Char1 Char"/>
    <w:basedOn w:val="1"/>
    <w:autoRedefine/>
    <w:qFormat/>
    <w:uiPriority w:val="0"/>
    <w:pPr>
      <w:shd w:val="clear" w:color="auto" w:fill="auto"/>
      <w:tabs>
        <w:tab w:val="clear" w:pos="426"/>
      </w:tabs>
      <w:adjustRightInd/>
      <w:snapToGrid/>
      <w:spacing w:after="160" w:line="240" w:lineRule="exact"/>
      <w:jc w:val="left"/>
    </w:pPr>
    <w:rPr>
      <w:rFonts w:ascii="Verdana" w:hAnsi="Verdana" w:cs="Times New Roman"/>
      <w:szCs w:val="20"/>
      <w:lang w:eastAsia="en-US"/>
    </w:rPr>
  </w:style>
  <w:style w:type="character" w:customStyle="1" w:styleId="551">
    <w:name w:val="正文1 Char"/>
    <w:autoRedefine/>
    <w:qFormat/>
    <w:uiPriority w:val="0"/>
    <w:rPr>
      <w:rFonts w:ascii="宋体" w:hAnsi="宋体" w:cs="宋体"/>
      <w:sz w:val="21"/>
    </w:rPr>
  </w:style>
  <w:style w:type="character" w:customStyle="1" w:styleId="552">
    <w:name w:val="标题 2 Char Char Char Char"/>
    <w:autoRedefine/>
    <w:qFormat/>
    <w:uiPriority w:val="0"/>
    <w:rPr>
      <w:rFonts w:ascii="Arial" w:hAnsi="Arial" w:eastAsia="黑体"/>
      <w:b/>
      <w:bCs/>
      <w:kern w:val="2"/>
      <w:sz w:val="32"/>
      <w:szCs w:val="32"/>
      <w:lang w:val="en-US" w:eastAsia="zh-CN" w:bidi="ar-SA"/>
    </w:rPr>
  </w:style>
  <w:style w:type="paragraph" w:customStyle="1" w:styleId="553">
    <w:name w:val="表中文字"/>
    <w:basedOn w:val="1"/>
    <w:autoRedefine/>
    <w:qFormat/>
    <w:uiPriority w:val="0"/>
    <w:pPr>
      <w:shd w:val="clear" w:color="auto" w:fill="auto"/>
      <w:tabs>
        <w:tab w:val="clear" w:pos="426"/>
      </w:tabs>
      <w:adjustRightInd/>
      <w:snapToGrid/>
      <w:spacing w:line="240" w:lineRule="auto"/>
    </w:pPr>
    <w:rPr>
      <w:rFonts w:ascii="Arial" w:hAnsi="Arial" w:cs="Times New Roman"/>
      <w:kern w:val="2"/>
      <w:szCs w:val="20"/>
    </w:rPr>
  </w:style>
  <w:style w:type="character" w:customStyle="1" w:styleId="554">
    <w:name w:val="批注文字 字符"/>
    <w:autoRedefine/>
    <w:qFormat/>
    <w:uiPriority w:val="0"/>
    <w:rPr>
      <w:rFonts w:eastAsia="宋体"/>
      <w:szCs w:val="24"/>
    </w:rPr>
  </w:style>
  <w:style w:type="character" w:customStyle="1" w:styleId="555">
    <w:name w:val="批注框文本 字符"/>
    <w:autoRedefine/>
    <w:semiHidden/>
    <w:qFormat/>
    <w:uiPriority w:val="99"/>
    <w:rPr>
      <w:rFonts w:ascii="Times New Roman" w:hAnsi="Times New Roman" w:eastAsia="宋体" w:cs="Times New Roman"/>
      <w:sz w:val="18"/>
      <w:szCs w:val="18"/>
    </w:rPr>
  </w:style>
  <w:style w:type="character" w:customStyle="1" w:styleId="556">
    <w:name w:val="页眉 字符"/>
    <w:autoRedefine/>
    <w:qFormat/>
    <w:uiPriority w:val="99"/>
    <w:rPr>
      <w:rFonts w:ascii="Times New Roman" w:hAnsi="Times New Roman" w:eastAsia="宋体" w:cs="Times New Roman"/>
      <w:sz w:val="18"/>
      <w:szCs w:val="18"/>
    </w:rPr>
  </w:style>
  <w:style w:type="character" w:customStyle="1" w:styleId="557">
    <w:name w:val="页脚 字符"/>
    <w:autoRedefine/>
    <w:qFormat/>
    <w:uiPriority w:val="99"/>
    <w:rPr>
      <w:rFonts w:ascii="Times New Roman" w:hAnsi="Times New Roman" w:eastAsia="宋体" w:cs="Times New Roman"/>
      <w:sz w:val="18"/>
      <w:szCs w:val="18"/>
    </w:rPr>
  </w:style>
  <w:style w:type="paragraph" w:customStyle="1" w:styleId="558">
    <w:name w:val="样式 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9">
    <w:name w:val="Text Char"/>
    <w:link w:val="560"/>
    <w:autoRedefine/>
    <w:qFormat/>
    <w:uiPriority w:val="0"/>
    <w:rPr>
      <w:rFonts w:ascii="Calibri" w:hAnsi="Calibri" w:eastAsia="微软雅黑 Light"/>
      <w:kern w:val="2"/>
      <w:sz w:val="24"/>
      <w:szCs w:val="28"/>
    </w:rPr>
  </w:style>
  <w:style w:type="paragraph" w:customStyle="1" w:styleId="560">
    <w:name w:val="Text"/>
    <w:basedOn w:val="1"/>
    <w:link w:val="559"/>
    <w:autoRedefine/>
    <w:qFormat/>
    <w:uiPriority w:val="0"/>
    <w:pPr>
      <w:widowControl w:val="0"/>
      <w:shd w:val="clear" w:color="auto" w:fill="auto"/>
      <w:tabs>
        <w:tab w:val="clear" w:pos="426"/>
      </w:tabs>
      <w:spacing w:line="240" w:lineRule="auto"/>
      <w:ind w:firstLine="200" w:firstLineChars="200"/>
    </w:pPr>
    <w:rPr>
      <w:rFonts w:ascii="Calibri" w:hAnsi="Calibri" w:eastAsia="微软雅黑 Light" w:cs="Times New Roman"/>
      <w:kern w:val="2"/>
      <w:sz w:val="24"/>
      <w:szCs w:val="28"/>
    </w:rPr>
  </w:style>
  <w:style w:type="paragraph" w:customStyle="1" w:styleId="561">
    <w:name w:val="列表段落1"/>
    <w:basedOn w:val="1"/>
    <w:autoRedefine/>
    <w:qFormat/>
    <w:uiPriority w:val="0"/>
    <w:pPr>
      <w:widowControl w:val="0"/>
      <w:shd w:val="clear" w:color="auto" w:fill="auto"/>
      <w:tabs>
        <w:tab w:val="clear" w:pos="426"/>
      </w:tabs>
      <w:adjustRightInd/>
      <w:snapToGrid/>
      <w:spacing w:line="240" w:lineRule="auto"/>
      <w:ind w:firstLine="200" w:firstLineChars="200"/>
    </w:pPr>
    <w:rPr>
      <w:rFonts w:ascii="Calibri" w:hAnsi="Calibri" w:cs="Times New Roman"/>
      <w:sz w:val="24"/>
    </w:rPr>
  </w:style>
  <w:style w:type="paragraph" w:customStyle="1" w:styleId="562">
    <w:name w:val="样式 正文缩进表正文正文非缩进特点段1四号正文不缩进标题4??????????ALT+Z水上软件特点 ...4"/>
    <w:basedOn w:val="7"/>
    <w:autoRedefine/>
    <w:qFormat/>
    <w:uiPriority w:val="0"/>
    <w:pPr>
      <w:widowControl w:val="0"/>
      <w:shd w:val="clear" w:color="auto" w:fill="auto"/>
      <w:tabs>
        <w:tab w:val="clear" w:pos="426"/>
      </w:tabs>
      <w:adjustRightInd/>
      <w:snapToGrid/>
      <w:ind w:firstLine="200" w:firstLineChars="200"/>
    </w:pPr>
    <w:rPr>
      <w:rFonts w:cs="宋体"/>
      <w:color w:val="000000"/>
    </w:rPr>
  </w:style>
  <w:style w:type="paragraph" w:customStyle="1" w:styleId="563">
    <w:name w:val="正文！！！"/>
    <w:basedOn w:val="1"/>
    <w:autoRedefine/>
    <w:qFormat/>
    <w:uiPriority w:val="0"/>
    <w:pPr>
      <w:widowControl w:val="0"/>
      <w:shd w:val="clear" w:color="auto" w:fill="auto"/>
      <w:tabs>
        <w:tab w:val="clear" w:pos="426"/>
      </w:tabs>
      <w:adjustRightInd/>
      <w:snapToGrid/>
      <w:ind w:firstLine="420" w:firstLineChars="200"/>
    </w:pPr>
    <w:rPr>
      <w:rFonts w:ascii="Arial" w:hAnsi="Arial" w:eastAsia="微软雅黑"/>
      <w:kern w:val="2"/>
      <w:sz w:val="24"/>
      <w:szCs w:val="20"/>
    </w:rPr>
  </w:style>
  <w:style w:type="paragraph" w:customStyle="1" w:styleId="564">
    <w:name w:val="样式 正文缩进表正文正文非缩进特点段1四号正文不缩进标题4??????????ALT+Z水上软件特点 ..."/>
    <w:basedOn w:val="7"/>
    <w:autoRedefine/>
    <w:qFormat/>
    <w:uiPriority w:val="0"/>
    <w:pPr>
      <w:widowControl w:val="0"/>
      <w:shd w:val="clear" w:color="auto" w:fill="auto"/>
      <w:tabs>
        <w:tab w:val="clear" w:pos="426"/>
      </w:tabs>
      <w:adjustRightInd/>
      <w:snapToGrid/>
      <w:ind w:firstLine="200" w:firstLineChars="200"/>
    </w:pPr>
    <w:rPr>
      <w:rFonts w:cs="宋体"/>
    </w:rPr>
  </w:style>
  <w:style w:type="table" w:customStyle="1" w:styleId="565">
    <w:name w:val="网格型1"/>
    <w:basedOn w:val="85"/>
    <w:autoRedefine/>
    <w:qFormat/>
    <w:uiPriority w:val="0"/>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6">
    <w:name w:val="_Style 565"/>
    <w:autoRedefine/>
    <w:unhideWhenUsed/>
    <w:qFormat/>
    <w:uiPriority w:val="99"/>
    <w:rPr>
      <w:rFonts w:ascii="宋体" w:hAnsi="Times New Roman" w:eastAsia="宋体" w:cs="宋体"/>
      <w:sz w:val="21"/>
      <w:szCs w:val="24"/>
      <w:lang w:val="en-US" w:eastAsia="zh-CN" w:bidi="ar-SA"/>
    </w:rPr>
  </w:style>
  <w:style w:type="character" w:customStyle="1" w:styleId="567">
    <w:name w:val="_Style 566"/>
    <w:autoRedefine/>
    <w:unhideWhenUsed/>
    <w:qFormat/>
    <w:uiPriority w:val="99"/>
    <w:rPr>
      <w:color w:val="605E5C"/>
      <w:shd w:val="clear" w:color="auto" w:fill="E1DFDD"/>
    </w:rPr>
  </w:style>
  <w:style w:type="paragraph" w:customStyle="1" w:styleId="568">
    <w:name w:val="修订3"/>
    <w:autoRedefine/>
    <w:hidden/>
    <w:semiHidden/>
    <w:qFormat/>
    <w:uiPriority w:val="99"/>
    <w:rPr>
      <w:rFonts w:ascii="宋体" w:hAnsi="Times New Roman" w:eastAsia="宋体" w:cs="宋体"/>
      <w:sz w:val="21"/>
      <w:szCs w:val="24"/>
      <w:lang w:val="en-US" w:eastAsia="zh-CN" w:bidi="ar-SA"/>
    </w:rPr>
  </w:style>
  <w:style w:type="paragraph" w:customStyle="1" w:styleId="569">
    <w:name w:val="修订4"/>
    <w:autoRedefine/>
    <w:hidden/>
    <w:semiHidden/>
    <w:qFormat/>
    <w:uiPriority w:val="99"/>
    <w:rPr>
      <w:rFonts w:ascii="宋体" w:hAnsi="Times New Roman" w:eastAsia="宋体" w:cs="宋体"/>
      <w:sz w:val="21"/>
      <w:szCs w:val="24"/>
      <w:lang w:val="en-US" w:eastAsia="zh-CN" w:bidi="ar-SA"/>
    </w:rPr>
  </w:style>
  <w:style w:type="paragraph" w:customStyle="1" w:styleId="570">
    <w:name w:val="彩色列表 - 强调文字颜色 111"/>
    <w:basedOn w:val="1"/>
    <w:autoRedefine/>
    <w:qFormat/>
    <w:uiPriority w:val="0"/>
    <w:pPr>
      <w:widowControl w:val="0"/>
      <w:shd w:val="clear" w:color="auto" w:fill="auto"/>
      <w:tabs>
        <w:tab w:val="clear" w:pos="426"/>
      </w:tabs>
      <w:adjustRightInd/>
      <w:snapToGrid/>
      <w:spacing w:line="240" w:lineRule="auto"/>
      <w:ind w:firstLine="420" w:firstLineChars="200"/>
    </w:pPr>
    <w:rPr>
      <w:rFonts w:ascii="Times New Roman" w:eastAsia="仿宋体" w:cs="Times New Roman"/>
      <w:kern w:val="2"/>
      <w:sz w:val="32"/>
      <w:szCs w:val="32"/>
    </w:rPr>
  </w:style>
  <w:style w:type="character" w:customStyle="1" w:styleId="571">
    <w:name w:val="未处理的提及1"/>
    <w:basedOn w:val="87"/>
    <w:autoRedefine/>
    <w:semiHidden/>
    <w:unhideWhenUsed/>
    <w:qFormat/>
    <w:uiPriority w:val="99"/>
    <w:rPr>
      <w:color w:val="605E5C"/>
      <w:shd w:val="clear" w:color="auto" w:fill="E1DFDD"/>
    </w:rPr>
  </w:style>
  <w:style w:type="paragraph" w:customStyle="1" w:styleId="572">
    <w:name w:val="修订5"/>
    <w:autoRedefine/>
    <w:hidden/>
    <w:semiHidden/>
    <w:qFormat/>
    <w:uiPriority w:val="99"/>
    <w:rPr>
      <w:rFonts w:ascii="宋体" w:hAnsi="Times New Roman" w:eastAsia="宋体" w:cs="宋体"/>
      <w:sz w:val="21"/>
      <w:szCs w:val="24"/>
      <w:lang w:val="en-US" w:eastAsia="zh-CN" w:bidi="ar-SA"/>
    </w:rPr>
  </w:style>
  <w:style w:type="character" w:customStyle="1" w:styleId="573">
    <w:name w:val="未处理的提及2"/>
    <w:basedOn w:val="8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FDCEBC-1111-4572-9009-4762A29CDD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48682</Words>
  <Characters>54078</Characters>
  <Lines>414</Lines>
  <Paragraphs>116</Paragraphs>
  <TotalTime>7</TotalTime>
  <ScaleCrop>false</ScaleCrop>
  <LinksUpToDate>false</LinksUpToDate>
  <CharactersWithSpaces>55009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2022-07-29T16:11:00Z</dcterms:created>
  <dc:creator>thsware</dc:creator>
  <cp:lastModifiedBy>微信用户</cp:lastModifiedBy>
  <cp:lastPrinted>2023-03-28T10:09:00Z</cp:lastPrinted>
  <dcterms:modified xsi:type="dcterms:W3CDTF">2024-06-06T09:15:34Z</dcterms:modified>
  <dc:title>招  标　文　件</dc:title>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4020812600781EE9AA2247661E7AE1D0_43</vt:lpwstr>
  </property>
</Properties>
</file>